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4F1EA"/>
  <w:body>
    <w:p>
      <w:pPr>
        <w:pBdr>
          <w:bottom w:val="single" w:color="A8341F" w:sz="16" w:space="4"/>
        </w:pBdr>
        <w:spacing w:after="120" w:before="60"/>
      </w:pPr>
      <w:r>
        <w:rPr>
          <w:sz w:val="2"/>
          <w:szCs w:val="2"/>
        </w:rPr>
        <w:t xml:space="preserve"/>
      </w:r>
    </w:p>
    <w:p>
      <w:pPr>
        <w:spacing w:after="120" w:before="140"/>
      </w:pPr>
      <w:r>
        <w:rPr>
          <w:rFonts w:ascii="Fraunces" w:cs="Fraunces" w:eastAsia="Fraunces" w:hAnsi="Fraunces"/>
          <w:color w:val="1A1814"/>
          <w:sz w:val="30"/>
          <w:szCs w:val="30"/>
        </w:rPr>
        <w:t xml:space="preserve">Daftar </w:t>
      </w:r>
      <w:r>
        <w:rPr>
          <w:rFonts w:ascii="Fraunces" w:cs="Fraunces" w:eastAsia="Fraunces" w:hAnsi="Fraunces"/>
          <w:i/>
          <w:iCs/>
          <w:color w:val="A8341F"/>
          <w:sz w:val="30"/>
          <w:szCs w:val="30"/>
        </w:rPr>
        <w:t xml:space="preserve">Advisory</w:t>
      </w:r>
      <w:r>
        <w:rPr>
          <w:rFonts w:ascii="Fraunces" w:cs="Fraunces" w:eastAsia="Fraunces" w:hAnsi="Fraunces"/>
          <w:i/>
          <w:iCs/>
          <w:color w:val="A8341F"/>
          <w:sz w:val="30"/>
          <w:szCs w:val="30"/>
        </w:rPr>
        <w:t xml:space="preserve">.</w:t>
      </w:r>
    </w:p>
    <w:p>
      <w:pPr>
        <w:spacing w:after="40" w:before="80"/>
      </w:pPr>
      <w:r>
        <w:rPr>
          <w:rFonts w:ascii="JetBrains Mono" w:cs="JetBrains Mono" w:eastAsia="JetBrains Mono" w:hAnsi="JetBrains Mono"/>
          <w:color w:val="78726A"/>
          <w:spacing w:val="24"/>
          <w:sz w:val="15"/>
          <w:szCs w:val="15"/>
        </w:rPr>
        <w:t xml:space="preserve">INTERNAL SERVICES PLAYBOOK  ·  B-03</w:t>
      </w:r>
    </w:p>
    <w:p>
      <w:pPr>
        <w:spacing w:after="60" w:before="40"/>
      </w:pPr>
      <w:r>
        <w:rPr>
          <w:rFonts w:ascii="JetBrains Mono" w:cs="JetBrains Mono" w:eastAsia="JetBrains Mono" w:hAnsi="JetBrains Mono"/>
          <w:color w:val="A8341F"/>
          <w:spacing w:val="24"/>
          <w:sz w:val="16"/>
          <w:szCs w:val="16"/>
        </w:rPr>
        <w:t xml:space="preserve">AREA B  /  COMPLIANCE, FILED ON TIME</w:t>
      </w:r>
    </w:p>
    <w:p>
      <w:pPr>
        <w:spacing w:after="140" w:before="60"/>
      </w:pPr>
      <w:r>
        <w:rPr>
          <w:rFonts w:ascii="Fraunces" w:cs="Fraunces" w:eastAsia="Fraunces" w:hAnsi="Fraunces"/>
          <w:b w:val="false"/>
          <w:bCs w:val="false"/>
          <w:i w:val="false"/>
          <w:iCs w:val="false"/>
          <w:color w:val="1A1814"/>
          <w:sz w:val="30"/>
          <w:szCs w:val="30"/>
        </w:rPr>
        <w:t xml:space="preserve">KSA Transfer Pricing </w:t>
      </w:r>
      <w:r>
        <w:rPr>
          <w:rFonts w:ascii="Fraunces" w:cs="Fraunces" w:eastAsia="Fraunces" w:hAnsi="Fraunces"/>
          <w:b w:val="false"/>
          <w:bCs w:val="false"/>
          <w:i/>
          <w:iCs/>
          <w:color w:val="A8341F"/>
          <w:sz w:val="30"/>
          <w:szCs w:val="30"/>
        </w:rPr>
        <w:t xml:space="preserve">Documentation.</w:t>
      </w:r>
    </w:p>
    <w:p>
      <w:pPr>
        <w:spacing w:after="120" w:line="300"/>
        <w:jc w:val="left"/>
      </w:pPr>
      <w:r>
        <w:rPr>
          <w:rFonts w:ascii="Fraunces" w:cs="Fraunces" w:eastAsia="Fraunces" w:hAnsi="Fraunces"/>
          <w:b w:val="false"/>
          <w:bCs w:val="false"/>
          <w:i/>
          <w:iCs/>
          <w:color w:val="A8341F"/>
          <w:sz w:val="21"/>
          <w:szCs w:val="21"/>
        </w:rPr>
        <w:t xml:space="preserve">Controlled Transactions Disclosure Form, Master File and Local File — aligned to the SAR 6M small-enterprise exemption and the phased SAR 100M / SAR 48M Zakat-payer thresholds. Benchmarking, functional analysis, auditor affidavit package.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8D2C6" w:sz="2"/>
              <w:left w:val="none"/>
              <w:bottom w:val="single" w:color="D8D2C6" w:sz="2"/>
              <w:right w:val="none"/>
            </w:tcBorders>
            <w:shd w:fill="1A1814" w:color="auto" w:val="clear"/>
            <w:tcMar>
              <w:top w:type="dxa" w:w="80"/>
              <w:left w:type="dxa" w:w="130"/>
              <w:bottom w:type="dxa" w:w="80"/>
              <w:right w:type="dxa" w:w="130"/>
            </w:tcMar>
            <w:vAlign w:val="center"/>
          </w:tcPr>
          <w:p>
            <w:pPr>
              <w:spacing w:after="0" w:line="268"/>
            </w:pPr>
            <w:r>
              <w:rPr>
                <w:rFonts w:ascii="JetBrains Mono" w:cs="JetBrains Mono" w:eastAsia="JetBrains Mono" w:hAnsi="JetBrains Mono"/>
                <w:b/>
                <w:bCs/>
                <w:color w:val="F4F1EA"/>
                <w:spacing w:val="18"/>
                <w:sz w:val="15"/>
                <w:szCs w:val="15"/>
              </w:rPr>
              <w:t xml:space="preserve">OUTCOME</w:t>
            </w:r>
          </w:p>
        </w:tc>
        <w:tc>
          <w:tcPr>
            <w:tcW w:type="dxa" w:w="6360"/>
            <w:tcBorders>
              <w:top w:val="single" w:color="D8D2C6" w:sz="2"/>
              <w:left w:val="none"/>
              <w:bottom w:val="single" w:color="D8D2C6" w:sz="2"/>
              <w:right w:val="none"/>
            </w:tcBorders>
            <w:shd w:fill="1A1814" w:color="auto" w:val="clear"/>
            <w:tcMar>
              <w:top w:type="dxa" w:w="80"/>
              <w:left w:type="dxa" w:w="130"/>
              <w:bottom w:type="dxa" w:w="80"/>
              <w:right w:type="dxa" w:w="130"/>
            </w:tcMar>
            <w:vAlign w:val="center"/>
          </w:tcPr>
          <w:p>
            <w:pPr>
              <w:spacing w:after="0" w:line="268"/>
            </w:pPr>
            <w:r>
              <w:rPr>
                <w:rFonts w:ascii="JetBrains Mono" w:cs="JetBrains Mono" w:eastAsia="JetBrains Mono" w:hAnsi="JetBrains Mono"/>
                <w:b/>
                <w:bCs/>
                <w:color w:val="F4F1EA"/>
                <w:spacing w:val="18"/>
                <w:sz w:val="15"/>
                <w:szCs w:val="15"/>
              </w:rPr>
              <w:t xml:space="preserve">KSA transfer pricing that the auditor will accept.</w:t>
            </w:r>
          </w:p>
        </w:tc>
      </w:tr>
      <w:tr>
        <w:trPr>
          <w:tblHeader w:val="false"/>
        </w:trPr>
        <w:tc>
          <w:tcPr>
            <w:tcW w:type="dxa" w:w="3000"/>
            <w:tcBorders>
              <w:top w:val="single" w:color="D8D2C6" w:sz="2"/>
              <w:left w:val="none"/>
              <w:bottom w:val="single" w:color="D8D2C6" w:sz="2"/>
              <w:right w:val="none"/>
            </w:tcBorders>
            <w:tcMar>
              <w:top w:type="dxa" w:w="80"/>
              <w:left w:type="dxa" w:w="130"/>
              <w:bottom w:type="dxa" w:w="80"/>
              <w:right w:type="dxa" w:w="130"/>
            </w:tcMar>
            <w:vAlign w:val="center"/>
          </w:tcPr>
          <w:p>
            <w:pPr>
              <w:spacing w:after="0" w:line="268"/>
            </w:pPr>
            <w:r>
              <w:rPr>
                <w:rFonts w:ascii="Fraunces" w:cs="Fraunces" w:eastAsia="Fraunces" w:hAnsi="Fraunces"/>
                <w:b w:val="false"/>
                <w:bCs w:val="false"/>
                <w:color w:val="1A1814"/>
                <w:sz w:val="18"/>
                <w:szCs w:val="18"/>
              </w:rPr>
              <w:t xml:space="preserve">FEE</w:t>
            </w:r>
          </w:p>
        </w:tc>
        <w:tc>
          <w:tcPr>
            <w:tcW w:type="dxa" w:w="6360"/>
            <w:tcBorders>
              <w:top w:val="single" w:color="D8D2C6" w:sz="2"/>
              <w:left w:val="none"/>
              <w:bottom w:val="single" w:color="D8D2C6" w:sz="2"/>
              <w:right w:val="none"/>
            </w:tcBorders>
            <w:tcMar>
              <w:top w:type="dxa" w:w="80"/>
              <w:left w:type="dxa" w:w="130"/>
              <w:bottom w:type="dxa" w:w="80"/>
              <w:right w:type="dxa" w:w="130"/>
            </w:tcMar>
            <w:vAlign w:val="center"/>
          </w:tcPr>
          <w:p>
            <w:pPr>
              <w:spacing w:after="0" w:line="268"/>
            </w:pPr>
            <w:r>
              <w:rPr>
                <w:rFonts w:ascii="Fraunces" w:cs="Fraunces" w:eastAsia="Fraunces" w:hAnsi="Fraunces"/>
                <w:b w:val="false"/>
                <w:bCs w:val="false"/>
                <w:color w:val="1A1814"/>
                <w:sz w:val="18"/>
                <w:szCs w:val="18"/>
              </w:rPr>
              <w:t xml:space="preserve">SAR 15,000–70,000 · USD 4,000–18,700</w:t>
            </w:r>
          </w:p>
        </w:tc>
      </w:tr>
      <w:tr>
        <w:trPr>
          <w:tblHeader w:val="false"/>
        </w:trPr>
        <w:tc>
          <w:tcPr>
            <w:tcW w:type="dxa" w:w="3000"/>
            <w:tcBorders>
              <w:top w:val="single" w:color="D8D2C6" w:sz="2"/>
              <w:left w:val="none"/>
              <w:bottom w:val="single" w:color="D8D2C6" w:sz="2"/>
              <w:right w:val="none"/>
            </w:tcBorders>
            <w:shd w:fill="EBE6DA" w:color="auto" w:val="clear"/>
            <w:tcMar>
              <w:top w:type="dxa" w:w="80"/>
              <w:left w:type="dxa" w:w="130"/>
              <w:bottom w:type="dxa" w:w="80"/>
              <w:right w:type="dxa" w:w="130"/>
            </w:tcMar>
            <w:vAlign w:val="center"/>
          </w:tcPr>
          <w:p>
            <w:pPr>
              <w:spacing w:after="0" w:line="268"/>
            </w:pPr>
            <w:r>
              <w:rPr>
                <w:rFonts w:ascii="Fraunces" w:cs="Fraunces" w:eastAsia="Fraunces" w:hAnsi="Fraunces"/>
                <w:b w:val="false"/>
                <w:bCs w:val="false"/>
                <w:color w:val="1A1814"/>
                <w:sz w:val="18"/>
                <w:szCs w:val="18"/>
              </w:rPr>
              <w:t xml:space="preserve">TIMELINE</w:t>
            </w:r>
          </w:p>
        </w:tc>
        <w:tc>
          <w:tcPr>
            <w:tcW w:type="dxa" w:w="6360"/>
            <w:tcBorders>
              <w:top w:val="single" w:color="D8D2C6" w:sz="2"/>
              <w:left w:val="none"/>
              <w:bottom w:val="single" w:color="D8D2C6" w:sz="2"/>
              <w:right w:val="none"/>
            </w:tcBorders>
            <w:shd w:fill="EBE6DA" w:color="auto" w:val="clear"/>
            <w:tcMar>
              <w:top w:type="dxa" w:w="80"/>
              <w:left w:type="dxa" w:w="130"/>
              <w:bottom w:type="dxa" w:w="80"/>
              <w:right w:type="dxa" w:w="130"/>
            </w:tcMar>
            <w:vAlign w:val="center"/>
          </w:tcPr>
          <w:p>
            <w:pPr>
              <w:spacing w:after="0" w:line="268"/>
            </w:pPr>
            <w:r>
              <w:rPr>
                <w:rFonts w:ascii="Fraunces" w:cs="Fraunces" w:eastAsia="Fraunces" w:hAnsi="Fraunces"/>
                <w:b w:val="false"/>
                <w:bCs w:val="false"/>
                <w:color w:val="1A1814"/>
                <w:sz w:val="18"/>
                <w:szCs w:val="18"/>
              </w:rPr>
              <w:t xml:space="preserve">2–7 weeks depending on scope</w:t>
            </w:r>
          </w:p>
        </w:tc>
      </w:tr>
      <w:tr>
        <w:trPr>
          <w:tblHeader w:val="false"/>
        </w:trPr>
        <w:tc>
          <w:tcPr>
            <w:tcW w:type="dxa" w:w="3000"/>
            <w:tcBorders>
              <w:top w:val="single" w:color="D8D2C6" w:sz="2"/>
              <w:left w:val="none"/>
              <w:bottom w:val="single" w:color="D8D2C6" w:sz="2"/>
              <w:right w:val="none"/>
            </w:tcBorders>
            <w:tcMar>
              <w:top w:type="dxa" w:w="80"/>
              <w:left w:type="dxa" w:w="130"/>
              <w:bottom w:type="dxa" w:w="80"/>
              <w:right w:type="dxa" w:w="130"/>
            </w:tcMar>
            <w:vAlign w:val="center"/>
          </w:tcPr>
          <w:p>
            <w:pPr>
              <w:spacing w:after="0" w:line="268"/>
            </w:pPr>
            <w:r>
              <w:rPr>
                <w:rFonts w:ascii="Fraunces" w:cs="Fraunces" w:eastAsia="Fraunces" w:hAnsi="Fraunces"/>
                <w:b w:val="false"/>
                <w:bCs w:val="false"/>
                <w:color w:val="1A1814"/>
                <w:sz w:val="18"/>
                <w:szCs w:val="18"/>
              </w:rPr>
              <w:t xml:space="preserve">CODE</w:t>
            </w:r>
          </w:p>
        </w:tc>
        <w:tc>
          <w:tcPr>
            <w:tcW w:type="dxa" w:w="6360"/>
            <w:tcBorders>
              <w:top w:val="single" w:color="D8D2C6" w:sz="2"/>
              <w:left w:val="none"/>
              <w:bottom w:val="single" w:color="D8D2C6" w:sz="2"/>
              <w:right w:val="none"/>
            </w:tcBorders>
            <w:tcMar>
              <w:top w:type="dxa" w:w="80"/>
              <w:left w:type="dxa" w:w="130"/>
              <w:bottom w:type="dxa" w:w="80"/>
              <w:right w:type="dxa" w:w="130"/>
            </w:tcMar>
            <w:vAlign w:val="center"/>
          </w:tcPr>
          <w:p>
            <w:pPr>
              <w:spacing w:after="0" w:line="268"/>
            </w:pPr>
            <w:r>
              <w:rPr>
                <w:rFonts w:ascii="Fraunces" w:cs="Fraunces" w:eastAsia="Fraunces" w:hAnsi="Fraunces"/>
                <w:b w:val="false"/>
                <w:bCs w:val="false"/>
                <w:color w:val="1A1814"/>
                <w:sz w:val="18"/>
                <w:szCs w:val="18"/>
              </w:rPr>
              <w:t xml:space="preserve">B-03</w:t>
            </w:r>
          </w:p>
        </w:tc>
      </w:tr>
    </w:tbl>
    <w:p>
      <w:pPr>
        <w:spacing w:after="80"/>
      </w:pPr>
      <w:r>
        <w:rPr>
          <w:sz w:val="2"/>
          <w:szCs w:val="2"/>
        </w:rPr>
        <w:t xml:space="preserve"/>
      </w:r>
    </w:p>
    <w:p>
      <w:pPr>
        <w:spacing w:after="80" w:before="60"/>
      </w:pPr>
      <w:r>
        <w:rPr>
          <w:rFonts w:ascii="JetBrains Mono" w:cs="JetBrains Mono" w:eastAsia="JetBrains Mono" w:hAnsi="JetBrains Mono"/>
          <w:color w:val="78726A"/>
          <w:spacing w:val="18"/>
          <w:sz w:val="14"/>
          <w:szCs w:val="14"/>
        </w:rPr>
        <w:t xml:space="preserve">AHMAD AL HINAITI  ·  AMMAN 2026  ·  NOT FOR EXTERNAL DISTRIBUTION</w:t>
      </w:r>
    </w:p>
    <w:p>
      <w:pPr>
        <w:pBdr>
          <w:bottom w:val="single" w:color="1A1814" w:sz="6" w:space="6"/>
        </w:pBdr>
        <w:spacing w:after="60" w:before="300"/>
      </w:pPr>
      <w:r>
        <w:rPr>
          <w:rFonts w:ascii="JetBrains Mono" w:cs="JetBrains Mono" w:eastAsia="JetBrains Mono" w:hAnsi="JetBrains Mono"/>
          <w:color w:val="A8341F"/>
          <w:spacing w:val="28"/>
          <w:sz w:val="17"/>
          <w:szCs w:val="17"/>
        </w:rPr>
        <w:t xml:space="preserve">01  /  DEFINITION</w:t>
      </w:r>
    </w:p>
    <w:p>
      <w:pPr>
        <w:spacing w:after="120" w:before="40"/>
      </w:pPr>
      <w:r>
        <w:rPr>
          <w:rFonts w:ascii="Fraunces" w:cs="Fraunces" w:eastAsia="Fraunces" w:hAnsi="Fraunces"/>
          <w:b w:val="false"/>
          <w:bCs w:val="false"/>
          <w:i w:val="false"/>
          <w:iCs w:val="false"/>
          <w:color w:val="78726A"/>
          <w:sz w:val="21"/>
          <w:szCs w:val="21"/>
        </w:rPr>
        <w:t xml:space="preserve">What this service </w:t>
      </w:r>
      <w:r>
        <w:rPr>
          <w:rFonts w:ascii="Fraunces" w:cs="Fraunces" w:eastAsia="Fraunces" w:hAnsi="Fraunces"/>
          <w:b w:val="false"/>
          <w:bCs w:val="false"/>
          <w:i/>
          <w:iCs/>
          <w:color w:val="A8341F"/>
          <w:sz w:val="21"/>
          <w:szCs w:val="21"/>
        </w:rPr>
        <w:t xml:space="preserve">is.</w:t>
      </w:r>
    </w:p>
    <w:p>
      <w:pPr>
        <w:spacing w:after="120" w:line="300"/>
        <w:jc w:val="left"/>
      </w:pPr>
      <w:r>
        <w:rPr>
          <w:rFonts w:ascii="Fraunces" w:cs="Fraunces" w:eastAsia="Fraunces" w:hAnsi="Fraunces"/>
          <w:b w:val="false"/>
          <w:bCs w:val="false"/>
          <w:i w:val="false"/>
          <w:iCs w:val="false"/>
          <w:color w:val="1A1814"/>
          <w:sz w:val="21"/>
          <w:szCs w:val="21"/>
        </w:rPr>
        <w:t xml:space="preserve">Transfer-pricing documentation for KSA-resident entities with related-party transactions, under the expanded TP rules now applicable to Zakat payers in addition to income-tax payers. The engagement produces: the Controlled Transactions Disclosure Form (CTDF) for submission with the Zakat or income-tax return, Local File and Master File documentation where the entity is above the applicable threshold, and a benchmarking analysis to support arm's-length conclusions. Designed to be auditor-readable: the client's Zakat-and-CT auditor can cite the documentation package as the basis for the affidavit they must issue.</w:t>
      </w:r>
    </w:p>
    <w:p>
      <w:pPr>
        <w:spacing w:after="120" w:line="300"/>
        <w:jc w:val="left"/>
      </w:pPr>
      <w:r>
        <w:rPr>
          <w:rFonts w:ascii="Fraunces" w:cs="Fraunces" w:eastAsia="Fraunces" w:hAnsi="Fraunces"/>
          <w:b w:val="false"/>
          <w:bCs w:val="false"/>
          <w:i w:val="false"/>
          <w:iCs w:val="false"/>
          <w:color w:val="1A1814"/>
          <w:sz w:val="21"/>
          <w:szCs w:val="21"/>
        </w:rPr>
        <w:t xml:space="preserve">Three separate thresholds govern this service, and they are not the same number. Confusing them is the fastest way to mis-scope the engagement: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D8D2C6" w:sz="2"/>
              <w:left w:val="none"/>
              <w:bottom w:val="single" w:color="D8D2C6" w:sz="2"/>
              <w:right w:val="none"/>
            </w:tcBorders>
            <w:shd w:fill="1A1814" w:color="auto" w:val="clear"/>
            <w:tcMar>
              <w:top w:type="dxa" w:w="80"/>
              <w:left w:type="dxa" w:w="130"/>
              <w:bottom w:type="dxa" w:w="80"/>
              <w:right w:type="dxa" w:w="130"/>
            </w:tcMar>
            <w:vAlign w:val="center"/>
          </w:tcPr>
          <w:p>
            <w:pPr>
              <w:spacing w:after="0" w:line="268"/>
            </w:pPr>
            <w:r>
              <w:rPr>
                <w:rFonts w:ascii="JetBrains Mono" w:cs="JetBrains Mono" w:eastAsia="JetBrains Mono" w:hAnsi="JetBrains Mono"/>
                <w:b/>
                <w:bCs/>
                <w:color w:val="F4F1EA"/>
                <w:spacing w:val="18"/>
                <w:sz w:val="15"/>
                <w:szCs w:val="15"/>
              </w:rPr>
              <w:t xml:space="preserve">OBLIGATION</w:t>
            </w:r>
          </w:p>
        </w:tc>
        <w:tc>
          <w:tcPr>
            <w:tcW w:type="dxa" w:w="3600"/>
            <w:tcBorders>
              <w:top w:val="single" w:color="D8D2C6" w:sz="2"/>
              <w:left w:val="none"/>
              <w:bottom w:val="single" w:color="D8D2C6" w:sz="2"/>
              <w:right w:val="none"/>
            </w:tcBorders>
            <w:shd w:fill="1A1814" w:color="auto" w:val="clear"/>
            <w:tcMar>
              <w:top w:type="dxa" w:w="80"/>
              <w:left w:type="dxa" w:w="130"/>
              <w:bottom w:type="dxa" w:w="80"/>
              <w:right w:type="dxa" w:w="130"/>
            </w:tcMar>
            <w:vAlign w:val="center"/>
          </w:tcPr>
          <w:p>
            <w:pPr>
              <w:spacing w:after="0" w:line="268"/>
            </w:pPr>
            <w:r>
              <w:rPr>
                <w:rFonts w:ascii="JetBrains Mono" w:cs="JetBrains Mono" w:eastAsia="JetBrains Mono" w:hAnsi="JetBrains Mono"/>
                <w:b/>
                <w:bCs/>
                <w:color w:val="F4F1EA"/>
                <w:spacing w:val="18"/>
                <w:sz w:val="15"/>
                <w:szCs w:val="15"/>
              </w:rPr>
              <w:t xml:space="preserve">TRIGGER</w:t>
            </w:r>
          </w:p>
        </w:tc>
        <w:tc>
          <w:tcPr>
            <w:tcW w:type="dxa" w:w="3360"/>
            <w:tcBorders>
              <w:top w:val="single" w:color="D8D2C6" w:sz="2"/>
              <w:left w:val="none"/>
              <w:bottom w:val="single" w:color="D8D2C6" w:sz="2"/>
              <w:right w:val="none"/>
            </w:tcBorders>
            <w:shd w:fill="1A1814" w:color="auto" w:val="clear"/>
            <w:tcMar>
              <w:top w:type="dxa" w:w="80"/>
              <w:left w:type="dxa" w:w="130"/>
              <w:bottom w:type="dxa" w:w="80"/>
              <w:right w:type="dxa" w:w="130"/>
            </w:tcMar>
            <w:vAlign w:val="center"/>
          </w:tcPr>
          <w:p>
            <w:pPr>
              <w:spacing w:after="0" w:line="268"/>
            </w:pPr>
            <w:r>
              <w:rPr>
                <w:rFonts w:ascii="JetBrains Mono" w:cs="JetBrains Mono" w:eastAsia="JetBrains Mono" w:hAnsi="JetBrains Mono"/>
                <w:b/>
                <w:bCs/>
                <w:color w:val="F4F1EA"/>
                <w:spacing w:val="18"/>
                <w:sz w:val="15"/>
                <w:szCs w:val="15"/>
              </w:rPr>
              <w:t xml:space="preserve">DEADLINE</w:t>
            </w:r>
          </w:p>
        </w:tc>
      </w:tr>
      <w:tr>
        <w:trPr>
          <w:tblHeader w:val="false"/>
        </w:trPr>
        <w:tc>
          <w:tcPr>
            <w:tcW w:type="dxa" w:w="2400"/>
            <w:tcBorders>
              <w:top w:val="single" w:color="D8D2C6" w:sz="2"/>
              <w:left w:val="none"/>
              <w:bottom w:val="single" w:color="D8D2C6" w:sz="2"/>
              <w:right w:val="none"/>
            </w:tcBorders>
            <w:tcMar>
              <w:top w:type="dxa" w:w="80"/>
              <w:left w:type="dxa" w:w="130"/>
              <w:bottom w:type="dxa" w:w="80"/>
              <w:right w:type="dxa" w:w="130"/>
            </w:tcMar>
            <w:vAlign w:val="center"/>
          </w:tcPr>
          <w:p>
            <w:pPr>
              <w:spacing w:after="0" w:line="268"/>
            </w:pPr>
            <w:r>
              <w:rPr>
                <w:rFonts w:ascii="Fraunces" w:cs="Fraunces" w:eastAsia="Fraunces" w:hAnsi="Fraunces"/>
                <w:b w:val="false"/>
                <w:bCs w:val="false"/>
                <w:color w:val="1A1814"/>
                <w:sz w:val="18"/>
                <w:szCs w:val="18"/>
              </w:rPr>
              <w:t xml:space="preserve">CTDF + auditor affidavit</w:t>
            </w:r>
          </w:p>
        </w:tc>
        <w:tc>
          <w:tcPr>
            <w:tcW w:type="dxa" w:w="3600"/>
            <w:tcBorders>
              <w:top w:val="single" w:color="D8D2C6" w:sz="2"/>
              <w:left w:val="none"/>
              <w:bottom w:val="single" w:color="D8D2C6" w:sz="2"/>
              <w:right w:val="none"/>
            </w:tcBorders>
            <w:tcMar>
              <w:top w:type="dxa" w:w="80"/>
              <w:left w:type="dxa" w:w="130"/>
              <w:bottom w:type="dxa" w:w="80"/>
              <w:right w:type="dxa" w:w="130"/>
            </w:tcMar>
            <w:vAlign w:val="center"/>
          </w:tcPr>
          <w:p>
            <w:pPr>
              <w:spacing w:after="0" w:line="268"/>
            </w:pPr>
            <w:r>
              <w:rPr>
                <w:rFonts w:ascii="Fraunces" w:cs="Fraunces" w:eastAsia="Fraunces" w:hAnsi="Fraunces"/>
                <w:b w:val="false"/>
                <w:bCs w:val="false"/>
                <w:color w:val="1A1814"/>
                <w:sz w:val="18"/>
                <w:szCs w:val="18"/>
              </w:rPr>
              <w:t xml:space="preserve">Controlled transactions with related persons</w:t>
            </w:r>
          </w:p>
        </w:tc>
        <w:tc>
          <w:tcPr>
            <w:tcW w:type="dxa" w:w="3360"/>
            <w:tcBorders>
              <w:top w:val="single" w:color="D8D2C6" w:sz="2"/>
              <w:left w:val="none"/>
              <w:bottom w:val="single" w:color="D8D2C6" w:sz="2"/>
              <w:right w:val="none"/>
            </w:tcBorders>
            <w:tcMar>
              <w:top w:type="dxa" w:w="80"/>
              <w:left w:type="dxa" w:w="130"/>
              <w:bottom w:type="dxa" w:w="80"/>
              <w:right w:type="dxa" w:w="130"/>
            </w:tcMar>
            <w:vAlign w:val="center"/>
          </w:tcPr>
          <w:p>
            <w:pPr>
              <w:spacing w:after="0" w:line="268"/>
            </w:pPr>
            <w:r>
              <w:rPr>
                <w:rFonts w:ascii="Fraunces" w:cs="Fraunces" w:eastAsia="Fraunces" w:hAnsi="Fraunces"/>
                <w:b w:val="false"/>
                <w:bCs w:val="false"/>
                <w:color w:val="1A1814"/>
                <w:sz w:val="18"/>
                <w:szCs w:val="18"/>
              </w:rPr>
              <w:t xml:space="preserve">With the return, within 120 days of fiscal year-end</w:t>
            </w:r>
          </w:p>
        </w:tc>
      </w:tr>
      <w:tr>
        <w:trPr>
          <w:tblHeader w:val="false"/>
        </w:trPr>
        <w:tc>
          <w:tcPr>
            <w:tcW w:type="dxa" w:w="2400"/>
            <w:tcBorders>
              <w:top w:val="single" w:color="D8D2C6" w:sz="2"/>
              <w:left w:val="none"/>
              <w:bottom w:val="single" w:color="D8D2C6" w:sz="2"/>
              <w:right w:val="none"/>
            </w:tcBorders>
            <w:shd w:fill="EBE6DA" w:color="auto" w:val="clear"/>
            <w:tcMar>
              <w:top w:type="dxa" w:w="80"/>
              <w:left w:type="dxa" w:w="130"/>
              <w:bottom w:type="dxa" w:w="80"/>
              <w:right w:type="dxa" w:w="130"/>
            </w:tcMar>
            <w:vAlign w:val="center"/>
          </w:tcPr>
          <w:p>
            <w:pPr>
              <w:spacing w:after="0" w:line="268"/>
            </w:pPr>
            <w:r>
              <w:rPr>
                <w:rFonts w:ascii="Fraunces" w:cs="Fraunces" w:eastAsia="Fraunces" w:hAnsi="Fraunces"/>
                <w:b w:val="false"/>
                <w:bCs w:val="false"/>
                <w:color w:val="1A1814"/>
                <w:sz w:val="18"/>
                <w:szCs w:val="18"/>
              </w:rPr>
              <w:t xml:space="preserve">Local File + Master File (income-tax payers)</w:t>
            </w:r>
          </w:p>
        </w:tc>
        <w:tc>
          <w:tcPr>
            <w:tcW w:type="dxa" w:w="3600"/>
            <w:tcBorders>
              <w:top w:val="single" w:color="D8D2C6" w:sz="2"/>
              <w:left w:val="none"/>
              <w:bottom w:val="single" w:color="D8D2C6" w:sz="2"/>
              <w:right w:val="none"/>
            </w:tcBorders>
            <w:shd w:fill="EBE6DA" w:color="auto" w:val="clear"/>
            <w:tcMar>
              <w:top w:type="dxa" w:w="80"/>
              <w:left w:type="dxa" w:w="130"/>
              <w:bottom w:type="dxa" w:w="80"/>
              <w:right w:type="dxa" w:w="130"/>
            </w:tcMar>
            <w:vAlign w:val="center"/>
          </w:tcPr>
          <w:p>
            <w:pPr>
              <w:spacing w:after="0" w:line="268"/>
            </w:pPr>
            <w:r>
              <w:rPr>
                <w:rFonts w:ascii="Fraunces" w:cs="Fraunces" w:eastAsia="Fraunces" w:hAnsi="Fraunces"/>
                <w:b w:val="false"/>
                <w:bCs w:val="false"/>
                <w:color w:val="1A1814"/>
                <w:sz w:val="18"/>
                <w:szCs w:val="18"/>
              </w:rPr>
              <w:t xml:space="preserve">Controlled transactions exceed SAR 6M in 12 months (small-enterprise exemption below this)</w:t>
            </w:r>
          </w:p>
        </w:tc>
        <w:tc>
          <w:tcPr>
            <w:tcW w:type="dxa" w:w="3360"/>
            <w:tcBorders>
              <w:top w:val="single" w:color="D8D2C6" w:sz="2"/>
              <w:left w:val="none"/>
              <w:bottom w:val="single" w:color="D8D2C6" w:sz="2"/>
              <w:right w:val="none"/>
            </w:tcBorders>
            <w:shd w:fill="EBE6DA" w:color="auto" w:val="clear"/>
            <w:tcMar>
              <w:top w:type="dxa" w:w="80"/>
              <w:left w:type="dxa" w:w="130"/>
              <w:bottom w:type="dxa" w:w="80"/>
              <w:right w:type="dxa" w:w="130"/>
            </w:tcMar>
            <w:vAlign w:val="center"/>
          </w:tcPr>
          <w:p>
            <w:pPr>
              <w:spacing w:after="0" w:line="268"/>
            </w:pPr>
            <w:r>
              <w:rPr>
                <w:rFonts w:ascii="Fraunces" w:cs="Fraunces" w:eastAsia="Fraunces" w:hAnsi="Fraunces"/>
                <w:b w:val="false"/>
                <w:bCs w:val="false"/>
                <w:color w:val="1A1814"/>
                <w:sz w:val="18"/>
                <w:szCs w:val="18"/>
              </w:rPr>
              <w:t xml:space="preserve">Provided within 30 days of ZATCA request</w:t>
            </w:r>
          </w:p>
        </w:tc>
      </w:tr>
      <w:tr>
        <w:trPr>
          <w:tblHeader w:val="false"/>
        </w:trPr>
        <w:tc>
          <w:tcPr>
            <w:tcW w:type="dxa" w:w="2400"/>
            <w:tcBorders>
              <w:top w:val="single" w:color="D8D2C6" w:sz="2"/>
              <w:left w:val="none"/>
              <w:bottom w:val="single" w:color="D8D2C6" w:sz="2"/>
              <w:right w:val="none"/>
            </w:tcBorders>
            <w:tcMar>
              <w:top w:type="dxa" w:w="80"/>
              <w:left w:type="dxa" w:w="130"/>
              <w:bottom w:type="dxa" w:w="80"/>
              <w:right w:type="dxa" w:w="130"/>
            </w:tcMar>
            <w:vAlign w:val="center"/>
          </w:tcPr>
          <w:p>
            <w:pPr>
              <w:spacing w:after="0" w:line="268"/>
            </w:pPr>
            <w:r>
              <w:rPr>
                <w:rFonts w:ascii="Fraunces" w:cs="Fraunces" w:eastAsia="Fraunces" w:hAnsi="Fraunces"/>
                <w:b w:val="false"/>
                <w:bCs w:val="false"/>
                <w:color w:val="1A1814"/>
                <w:sz w:val="18"/>
                <w:szCs w:val="18"/>
              </w:rPr>
              <w:t xml:space="preserve">Local File + Master File (Zakat payers, phased)</w:t>
            </w:r>
          </w:p>
        </w:tc>
        <w:tc>
          <w:tcPr>
            <w:tcW w:type="dxa" w:w="3600"/>
            <w:tcBorders>
              <w:top w:val="single" w:color="D8D2C6" w:sz="2"/>
              <w:left w:val="none"/>
              <w:bottom w:val="single" w:color="D8D2C6" w:sz="2"/>
              <w:right w:val="none"/>
            </w:tcBorders>
            <w:tcMar>
              <w:top w:type="dxa" w:w="80"/>
              <w:left w:type="dxa" w:w="130"/>
              <w:bottom w:type="dxa" w:w="80"/>
              <w:right w:type="dxa" w:w="130"/>
            </w:tcMar>
            <w:vAlign w:val="center"/>
          </w:tcPr>
          <w:p>
            <w:pPr>
              <w:spacing w:after="0" w:line="268"/>
            </w:pPr>
            <w:r>
              <w:rPr>
                <w:rFonts w:ascii="Fraunces" w:cs="Fraunces" w:eastAsia="Fraunces" w:hAnsi="Fraunces"/>
                <w:b w:val="false"/>
                <w:bCs w:val="false"/>
                <w:color w:val="1A1814"/>
                <w:sz w:val="18"/>
                <w:szCs w:val="18"/>
              </w:rPr>
              <w:t xml:space="preserve">Mandatory above SAR 100M for FY2024–FY2026 · optional SAR 48M–100M · mandatory above SAR 48M from FY2027</w:t>
            </w:r>
          </w:p>
        </w:tc>
        <w:tc>
          <w:tcPr>
            <w:tcW w:type="dxa" w:w="3360"/>
            <w:tcBorders>
              <w:top w:val="single" w:color="D8D2C6" w:sz="2"/>
              <w:left w:val="none"/>
              <w:bottom w:val="single" w:color="D8D2C6" w:sz="2"/>
              <w:right w:val="none"/>
            </w:tcBorders>
            <w:tcMar>
              <w:top w:type="dxa" w:w="80"/>
              <w:left w:type="dxa" w:w="130"/>
              <w:bottom w:type="dxa" w:w="80"/>
              <w:right w:type="dxa" w:w="130"/>
            </w:tcMar>
            <w:vAlign w:val="center"/>
          </w:tcPr>
          <w:p>
            <w:pPr>
              <w:spacing w:after="0" w:line="268"/>
            </w:pPr>
            <w:r>
              <w:rPr>
                <w:rFonts w:ascii="Fraunces" w:cs="Fraunces" w:eastAsia="Fraunces" w:hAnsi="Fraunces"/>
                <w:b w:val="false"/>
                <w:bCs w:val="false"/>
                <w:color w:val="1A1814"/>
                <w:sz w:val="18"/>
                <w:szCs w:val="18"/>
              </w:rPr>
              <w:t xml:space="preserve">Provided within 30 days of ZATCA request</w:t>
            </w:r>
          </w:p>
        </w:tc>
      </w:tr>
      <w:tr>
        <w:trPr>
          <w:tblHeader w:val="false"/>
        </w:trPr>
        <w:tc>
          <w:tcPr>
            <w:tcW w:type="dxa" w:w="2400"/>
            <w:tcBorders>
              <w:top w:val="single" w:color="D8D2C6" w:sz="2"/>
              <w:left w:val="none"/>
              <w:bottom w:val="single" w:color="D8D2C6" w:sz="2"/>
              <w:right w:val="none"/>
            </w:tcBorders>
            <w:shd w:fill="EBE6DA" w:color="auto" w:val="clear"/>
            <w:tcMar>
              <w:top w:type="dxa" w:w="80"/>
              <w:left w:type="dxa" w:w="130"/>
              <w:bottom w:type="dxa" w:w="80"/>
              <w:right w:type="dxa" w:w="130"/>
            </w:tcMar>
            <w:vAlign w:val="center"/>
          </w:tcPr>
          <w:p>
            <w:pPr>
              <w:spacing w:after="0" w:line="268"/>
            </w:pPr>
            <w:r>
              <w:rPr>
                <w:rFonts w:ascii="Fraunces" w:cs="Fraunces" w:eastAsia="Fraunces" w:hAnsi="Fraunces"/>
                <w:b w:val="false"/>
                <w:bCs w:val="false"/>
                <w:color w:val="1A1814"/>
                <w:sz w:val="18"/>
                <w:szCs w:val="18"/>
              </w:rPr>
              <w:t xml:space="preserve">CbCR notification + report</w:t>
            </w:r>
          </w:p>
        </w:tc>
        <w:tc>
          <w:tcPr>
            <w:tcW w:type="dxa" w:w="3600"/>
            <w:tcBorders>
              <w:top w:val="single" w:color="D8D2C6" w:sz="2"/>
              <w:left w:val="none"/>
              <w:bottom w:val="single" w:color="D8D2C6" w:sz="2"/>
              <w:right w:val="none"/>
            </w:tcBorders>
            <w:shd w:fill="EBE6DA" w:color="auto" w:val="clear"/>
            <w:tcMar>
              <w:top w:type="dxa" w:w="80"/>
              <w:left w:type="dxa" w:w="130"/>
              <w:bottom w:type="dxa" w:w="80"/>
              <w:right w:type="dxa" w:w="130"/>
            </w:tcMar>
            <w:vAlign w:val="center"/>
          </w:tcPr>
          <w:p>
            <w:pPr>
              <w:spacing w:after="0" w:line="268"/>
            </w:pPr>
            <w:r>
              <w:rPr>
                <w:rFonts w:ascii="Fraunces" w:cs="Fraunces" w:eastAsia="Fraunces" w:hAnsi="Fraunces"/>
                <w:b w:val="false"/>
                <w:bCs w:val="false"/>
                <w:color w:val="1A1814"/>
                <w:sz w:val="18"/>
                <w:szCs w:val="18"/>
              </w:rPr>
              <w:t xml:space="preserve">MNE group consolidated revenue exceeds SAR 3.2B in the prior year</w:t>
            </w:r>
          </w:p>
        </w:tc>
        <w:tc>
          <w:tcPr>
            <w:tcW w:type="dxa" w:w="3360"/>
            <w:tcBorders>
              <w:top w:val="single" w:color="D8D2C6" w:sz="2"/>
              <w:left w:val="none"/>
              <w:bottom w:val="single" w:color="D8D2C6" w:sz="2"/>
              <w:right w:val="none"/>
            </w:tcBorders>
            <w:shd w:fill="EBE6DA" w:color="auto" w:val="clear"/>
            <w:tcMar>
              <w:top w:type="dxa" w:w="80"/>
              <w:left w:type="dxa" w:w="130"/>
              <w:bottom w:type="dxa" w:w="80"/>
              <w:right w:type="dxa" w:w="130"/>
            </w:tcMar>
            <w:vAlign w:val="center"/>
          </w:tcPr>
          <w:p>
            <w:pPr>
              <w:spacing w:after="0" w:line="268"/>
            </w:pPr>
            <w:r>
              <w:rPr>
                <w:rFonts w:ascii="Fraunces" w:cs="Fraunces" w:eastAsia="Fraunces" w:hAnsi="Fraunces"/>
                <w:b w:val="false"/>
                <w:bCs w:val="false"/>
                <w:color w:val="1A1814"/>
                <w:sz w:val="18"/>
                <w:szCs w:val="18"/>
              </w:rPr>
              <w:t xml:space="preserve">Notification within 120 days; report within 12 months of year-end</w:t>
            </w:r>
          </w:p>
        </w:tc>
      </w:tr>
    </w:tbl>
    <w:p>
      <w:pPr>
        <w:spacing w:after="80"/>
      </w:pPr>
      <w:r>
        <w:rPr>
          <w:sz w:val="2"/>
          <w:szCs w:val="2"/>
        </w:rPr>
        <w:t xml:space="preserve"/>
      </w:r>
    </w:p>
    <w:p>
      <w:pPr>
        <w:spacing w:after="120" w:line="300"/>
        <w:jc w:val="left"/>
      </w:pPr>
      <w:r>
        <w:rPr>
          <w:rFonts w:ascii="Fraunces" w:cs="Fraunces" w:eastAsia="Fraunces" w:hAnsi="Fraunces"/>
          <w:b w:val="false"/>
          <w:bCs w:val="false"/>
          <w:i w:val="false"/>
          <w:iCs w:val="false"/>
          <w:color w:val="1A1814"/>
          <w:sz w:val="21"/>
          <w:szCs w:val="21"/>
        </w:rPr>
        <w:t xml:space="preserve">The Master File obligation is driven by the entity's documentation threshold above — not by the SAR 3.2B figure, which is the CbCR trigger and a different test entirely.</w:t>
      </w:r>
    </w:p>
    <w:p>
      <w:pPr>
        <w:pBdr>
          <w:bottom w:val="single" w:color="1A1814" w:sz="6" w:space="6"/>
        </w:pBdr>
        <w:spacing w:after="60" w:before="300"/>
      </w:pPr>
      <w:r>
        <w:rPr>
          <w:rFonts w:ascii="JetBrains Mono" w:cs="JetBrains Mono" w:eastAsia="JetBrains Mono" w:hAnsi="JetBrains Mono"/>
          <w:color w:val="A8341F"/>
          <w:spacing w:val="28"/>
          <w:sz w:val="17"/>
          <w:szCs w:val="17"/>
        </w:rPr>
        <w:t xml:space="preserve">02  /  WHO BUYS IT</w:t>
      </w:r>
    </w:p>
    <w:p>
      <w:pPr>
        <w:spacing w:after="120" w:before="40"/>
      </w:pPr>
      <w:r>
        <w:rPr>
          <w:rFonts w:ascii="Fraunces" w:cs="Fraunces" w:eastAsia="Fraunces" w:hAnsi="Fraunces"/>
          <w:b w:val="false"/>
          <w:bCs w:val="false"/>
          <w:i w:val="false"/>
          <w:iCs w:val="false"/>
          <w:color w:val="78726A"/>
          <w:sz w:val="21"/>
          <w:szCs w:val="21"/>
        </w:rPr>
        <w:t xml:space="preserve">Trigger events and buyer </w:t>
      </w:r>
      <w:r>
        <w:rPr>
          <w:rFonts w:ascii="Fraunces" w:cs="Fraunces" w:eastAsia="Fraunces" w:hAnsi="Fraunces"/>
          <w:b w:val="false"/>
          <w:bCs w:val="false"/>
          <w:i/>
          <w:iCs/>
          <w:color w:val="A8341F"/>
          <w:sz w:val="21"/>
          <w:szCs w:val="21"/>
        </w:rPr>
        <w:t xml:space="preserve">profile.</w:t>
      </w:r>
    </w:p>
    <w:p>
      <w:pPr>
        <w:pStyle w:val="ListParagraph"/>
        <w:numPr>
          <w:ilvl w:val="0"/>
          <w:numId w:val="2"/>
        </w:numPr>
        <w:spacing w:after="50" w:line="288"/>
      </w:pPr>
      <w:r>
        <w:rPr>
          <w:rFonts w:ascii="Fraunces" w:cs="Fraunces" w:eastAsia="Fraunces" w:hAnsi="Fraunces"/>
          <w:b w:val="false"/>
          <w:bCs w:val="false"/>
          <w:i w:val="false"/>
          <w:iCs w:val="false"/>
          <w:color w:val="1A1814"/>
          <w:sz w:val="21"/>
          <w:szCs w:val="21"/>
        </w:rPr>
        <w:t xml:space="preserve">Zakat-payer family groups with related-party transactions whose TP compliance was previously considered out of scope — the rules now apply, phased in from FY2024</w:t>
      </w:r>
    </w:p>
    <w:p>
      <w:pPr>
        <w:pStyle w:val="ListParagraph"/>
        <w:numPr>
          <w:ilvl w:val="0"/>
          <w:numId w:val="2"/>
        </w:numPr>
        <w:spacing w:after="50" w:line="288"/>
      </w:pPr>
      <w:r>
        <w:rPr>
          <w:rFonts w:ascii="Fraunces" w:cs="Fraunces" w:eastAsia="Fraunces" w:hAnsi="Fraunces"/>
          <w:b w:val="false"/>
          <w:bCs w:val="false"/>
          <w:i w:val="false"/>
          <w:iCs w:val="false"/>
          <w:color w:val="1A1814"/>
          <w:sz w:val="21"/>
          <w:szCs w:val="21"/>
        </w:rPr>
        <w:t xml:space="preserve">KSA subsidiaries of GCC or international groups where the group-level TP policy exists but local documentation has not been produced</w:t>
      </w:r>
    </w:p>
    <w:p>
      <w:pPr>
        <w:pStyle w:val="ListParagraph"/>
        <w:numPr>
          <w:ilvl w:val="0"/>
          <w:numId w:val="2"/>
        </w:numPr>
        <w:spacing w:after="50" w:line="288"/>
      </w:pPr>
      <w:r>
        <w:rPr>
          <w:rFonts w:ascii="Fraunces" w:cs="Fraunces" w:eastAsia="Fraunces" w:hAnsi="Fraunces"/>
          <w:b w:val="false"/>
          <w:bCs w:val="false"/>
          <w:i w:val="false"/>
          <w:iCs w:val="false"/>
          <w:color w:val="1A1814"/>
          <w:sz w:val="21"/>
          <w:szCs w:val="21"/>
        </w:rPr>
        <w:t xml:space="preserve">Pre-IPO Nomu candidates where the CMA's TP-disclosure review has flagged gaps</w:t>
      </w:r>
    </w:p>
    <w:p>
      <w:pPr>
        <w:pStyle w:val="ListParagraph"/>
        <w:numPr>
          <w:ilvl w:val="0"/>
          <w:numId w:val="2"/>
        </w:numPr>
        <w:spacing w:after="50" w:line="288"/>
      </w:pPr>
      <w:r>
        <w:rPr>
          <w:rFonts w:ascii="Fraunces" w:cs="Fraunces" w:eastAsia="Fraunces" w:hAnsi="Fraunces"/>
          <w:b w:val="false"/>
          <w:bCs w:val="false"/>
          <w:i w:val="false"/>
          <w:iCs w:val="false"/>
          <w:color w:val="1A1814"/>
          <w:sz w:val="21"/>
          <w:szCs w:val="21"/>
        </w:rPr>
        <w:t xml:space="preserve">Groups with intra-group financing arrangements — interest-rate benchmarking is one of the highest-scrutiny areas</w:t>
      </w:r>
    </w:p>
    <w:p>
      <w:pPr>
        <w:pStyle w:val="ListParagraph"/>
        <w:numPr>
          <w:ilvl w:val="0"/>
          <w:numId w:val="2"/>
        </w:numPr>
        <w:spacing w:after="50" w:line="288"/>
      </w:pPr>
      <w:r>
        <w:rPr>
          <w:rFonts w:ascii="Fraunces" w:cs="Fraunces" w:eastAsia="Fraunces" w:hAnsi="Fraunces"/>
          <w:b w:val="false"/>
          <w:bCs w:val="false"/>
          <w:i w:val="false"/>
          <w:iCs w:val="false"/>
          <w:color w:val="1A1814"/>
          <w:sz w:val="21"/>
          <w:szCs w:val="21"/>
        </w:rPr>
        <w:t xml:space="preserve">Service-company structures (IT, shared services, management fees) where the allocation method has not been documented against OECD functional-analysis principles</w:t>
      </w:r>
    </w:p>
    <w:p>
      <w:pPr>
        <w:pBdr>
          <w:bottom w:val="single" w:color="1A1814" w:sz="6" w:space="6"/>
        </w:pBdr>
        <w:spacing w:after="60" w:before="300"/>
      </w:pPr>
      <w:r>
        <w:rPr>
          <w:rFonts w:ascii="JetBrains Mono" w:cs="JetBrains Mono" w:eastAsia="JetBrains Mono" w:hAnsi="JetBrains Mono"/>
          <w:color w:val="A8341F"/>
          <w:spacing w:val="28"/>
          <w:sz w:val="17"/>
          <w:szCs w:val="17"/>
        </w:rPr>
        <w:t xml:space="preserve">03  /  WHAT'S INCLUDED</w:t>
      </w:r>
    </w:p>
    <w:p>
      <w:pPr>
        <w:spacing w:after="120" w:before="40"/>
      </w:pPr>
      <w:r>
        <w:rPr>
          <w:rFonts w:ascii="Fraunces" w:cs="Fraunces" w:eastAsia="Fraunces" w:hAnsi="Fraunces"/>
          <w:b w:val="false"/>
          <w:bCs w:val="false"/>
          <w:i w:val="false"/>
          <w:iCs w:val="false"/>
          <w:color w:val="78726A"/>
          <w:sz w:val="21"/>
          <w:szCs w:val="21"/>
        </w:rPr>
        <w:t xml:space="preserve">The specific deliverables </w:t>
      </w:r>
      <w:r>
        <w:rPr>
          <w:rFonts w:ascii="Fraunces" w:cs="Fraunces" w:eastAsia="Fraunces" w:hAnsi="Fraunces"/>
          <w:b w:val="false"/>
          <w:bCs w:val="false"/>
          <w:i/>
          <w:iCs/>
          <w:color w:val="A8341F"/>
          <w:sz w:val="21"/>
          <w:szCs w:val="21"/>
        </w:rPr>
        <w:t xml:space="preserve">list.</w:t>
      </w:r>
    </w:p>
    <w:p>
      <w:pPr>
        <w:pStyle w:val="ListParagraph"/>
        <w:numPr>
          <w:ilvl w:val="0"/>
          <w:numId w:val="2"/>
        </w:numPr>
        <w:spacing w:after="50" w:line="288"/>
      </w:pPr>
      <w:r>
        <w:rPr>
          <w:rFonts w:ascii="Fraunces" w:cs="Fraunces" w:eastAsia="Fraunces" w:hAnsi="Fraunces"/>
          <w:b w:val="false"/>
          <w:bCs w:val="false"/>
          <w:i w:val="false"/>
          <w:iCs w:val="false"/>
          <w:color w:val="1A1814"/>
          <w:sz w:val="21"/>
          <w:szCs w:val="21"/>
        </w:rPr>
        <w:t xml:space="preserve">Related-party transaction identification and classification across the group</w:t>
      </w:r>
    </w:p>
    <w:p>
      <w:pPr>
        <w:pStyle w:val="ListParagraph"/>
        <w:numPr>
          <w:ilvl w:val="0"/>
          <w:numId w:val="2"/>
        </w:numPr>
        <w:spacing w:after="50" w:line="288"/>
      </w:pPr>
      <w:r>
        <w:rPr>
          <w:rFonts w:ascii="Fraunces" w:cs="Fraunces" w:eastAsia="Fraunces" w:hAnsi="Fraunces"/>
          <w:b w:val="false"/>
          <w:bCs w:val="false"/>
          <w:i w:val="false"/>
          <w:iCs w:val="false"/>
          <w:color w:val="1A1814"/>
          <w:sz w:val="21"/>
          <w:szCs w:val="21"/>
        </w:rPr>
        <w:t xml:space="preserve">CTDF preparation for submission with the Zakat/CT return within 120 days of fiscal year-end</w:t>
      </w:r>
    </w:p>
    <w:p>
      <w:pPr>
        <w:pStyle w:val="ListParagraph"/>
        <w:numPr>
          <w:ilvl w:val="0"/>
          <w:numId w:val="2"/>
        </w:numPr>
        <w:spacing w:after="50" w:line="288"/>
      </w:pPr>
      <w:r>
        <w:rPr>
          <w:rFonts w:ascii="Fraunces" w:cs="Fraunces" w:eastAsia="Fraunces" w:hAnsi="Fraunces"/>
          <w:b w:val="false"/>
          <w:bCs w:val="false"/>
          <w:i w:val="false"/>
          <w:iCs w:val="false"/>
          <w:color w:val="1A1814"/>
          <w:sz w:val="21"/>
          <w:szCs w:val="21"/>
        </w:rPr>
        <w:t xml:space="preserve">Functional analysis: functions performed, assets used, risks assumed by each party</w:t>
      </w:r>
    </w:p>
    <w:p>
      <w:pPr>
        <w:pStyle w:val="ListParagraph"/>
        <w:numPr>
          <w:ilvl w:val="0"/>
          <w:numId w:val="2"/>
        </w:numPr>
        <w:spacing w:after="50" w:line="288"/>
      </w:pPr>
      <w:r>
        <w:rPr>
          <w:rFonts w:ascii="Fraunces" w:cs="Fraunces" w:eastAsia="Fraunces" w:hAnsi="Fraunces"/>
          <w:b w:val="false"/>
          <w:bCs w:val="false"/>
          <w:i w:val="false"/>
          <w:iCs w:val="false"/>
          <w:color w:val="1A1814"/>
          <w:sz w:val="21"/>
          <w:szCs w:val="21"/>
        </w:rPr>
        <w:t xml:space="preserve">Transfer-pricing method selection and application (CUP, resale minus, cost plus, TNMM, profit split) with reasoning</w:t>
      </w:r>
    </w:p>
    <w:p>
      <w:pPr>
        <w:pStyle w:val="ListParagraph"/>
        <w:numPr>
          <w:ilvl w:val="0"/>
          <w:numId w:val="2"/>
        </w:numPr>
        <w:spacing w:after="50" w:line="288"/>
      </w:pPr>
      <w:r>
        <w:rPr>
          <w:rFonts w:ascii="Fraunces" w:cs="Fraunces" w:eastAsia="Fraunces" w:hAnsi="Fraunces"/>
          <w:b w:val="false"/>
          <w:bCs w:val="false"/>
          <w:i w:val="false"/>
          <w:iCs w:val="false"/>
          <w:color w:val="1A1814"/>
          <w:sz w:val="21"/>
          <w:szCs w:val="21"/>
        </w:rPr>
        <w:t xml:space="preserve">Benchmarking analysis using publicly available comparables — for interest rates, royalty rates, service markups, and distribution margins as applicable</w:t>
      </w:r>
    </w:p>
    <w:p>
      <w:pPr>
        <w:pStyle w:val="ListParagraph"/>
        <w:numPr>
          <w:ilvl w:val="0"/>
          <w:numId w:val="2"/>
        </w:numPr>
        <w:spacing w:after="50" w:line="288"/>
      </w:pPr>
      <w:r>
        <w:rPr>
          <w:rFonts w:ascii="Fraunces" w:cs="Fraunces" w:eastAsia="Fraunces" w:hAnsi="Fraunces"/>
          <w:b w:val="false"/>
          <w:bCs w:val="false"/>
          <w:i w:val="false"/>
          <w:iCs w:val="false"/>
          <w:color w:val="1A1814"/>
          <w:sz w:val="21"/>
          <w:szCs w:val="21"/>
        </w:rPr>
        <w:t xml:space="preserve">Local File drafting where the entity is above the applicable documentation threshold — above SAR 6M for income-tax payers, or above the phased SAR 100M / SAR 48M threshold for Zakat payers in the tested fiscal year</w:t>
      </w:r>
    </w:p>
    <w:p>
      <w:pPr>
        <w:pStyle w:val="ListParagraph"/>
        <w:numPr>
          <w:ilvl w:val="0"/>
          <w:numId w:val="2"/>
        </w:numPr>
        <w:spacing w:after="50" w:line="288"/>
      </w:pPr>
      <w:r>
        <w:rPr>
          <w:rFonts w:ascii="Fraunces" w:cs="Fraunces" w:eastAsia="Fraunces" w:hAnsi="Fraunces"/>
          <w:b w:val="false"/>
          <w:bCs w:val="false"/>
          <w:i w:val="false"/>
          <w:iCs w:val="false"/>
          <w:color w:val="1A1814"/>
          <w:sz w:val="21"/>
          <w:szCs w:val="21"/>
        </w:rPr>
        <w:t xml:space="preserve">Master File drafting or support where the same documentation threshold is met</w:t>
      </w:r>
    </w:p>
    <w:p>
      <w:pPr>
        <w:pStyle w:val="ListParagraph"/>
        <w:numPr>
          <w:ilvl w:val="0"/>
          <w:numId w:val="2"/>
        </w:numPr>
        <w:spacing w:after="50" w:line="288"/>
      </w:pPr>
      <w:r>
        <w:rPr>
          <w:rFonts w:ascii="Fraunces" w:cs="Fraunces" w:eastAsia="Fraunces" w:hAnsi="Fraunces"/>
          <w:b w:val="false"/>
          <w:bCs w:val="false"/>
          <w:i w:val="false"/>
          <w:iCs w:val="false"/>
          <w:color w:val="1A1814"/>
          <w:sz w:val="21"/>
          <w:szCs w:val="21"/>
        </w:rPr>
        <w:t xml:space="preserve">Auditor affidavit package: the documentation structured so the Zakat-and-CT auditor can issue the required affidavit on the group's TP compliance</w:t>
      </w:r>
    </w:p>
    <w:p>
      <w:pPr>
        <w:pBdr>
          <w:bottom w:val="single" w:color="1A1814" w:sz="6" w:space="6"/>
        </w:pBdr>
        <w:spacing w:after="60" w:before="300"/>
      </w:pPr>
      <w:r>
        <w:rPr>
          <w:rFonts w:ascii="JetBrains Mono" w:cs="JetBrains Mono" w:eastAsia="JetBrains Mono" w:hAnsi="JetBrains Mono"/>
          <w:color w:val="A8341F"/>
          <w:spacing w:val="28"/>
          <w:sz w:val="17"/>
          <w:szCs w:val="17"/>
        </w:rPr>
        <w:t xml:space="preserve">04  /  WHAT'S EXCLUDED</w:t>
      </w:r>
    </w:p>
    <w:p>
      <w:pPr>
        <w:spacing w:after="120" w:before="40"/>
      </w:pPr>
      <w:r>
        <w:rPr>
          <w:rFonts w:ascii="Fraunces" w:cs="Fraunces" w:eastAsia="Fraunces" w:hAnsi="Fraunces"/>
          <w:b w:val="false"/>
          <w:bCs w:val="false"/>
          <w:i w:val="false"/>
          <w:iCs w:val="false"/>
          <w:color w:val="78726A"/>
          <w:sz w:val="21"/>
          <w:szCs w:val="21"/>
        </w:rPr>
        <w:t xml:space="preserve">The scope-creep </w:t>
      </w:r>
      <w:r>
        <w:rPr>
          <w:rFonts w:ascii="Fraunces" w:cs="Fraunces" w:eastAsia="Fraunces" w:hAnsi="Fraunces"/>
          <w:b w:val="false"/>
          <w:bCs w:val="false"/>
          <w:i/>
          <w:iCs/>
          <w:color w:val="A8341F"/>
          <w:sz w:val="21"/>
          <w:szCs w:val="21"/>
        </w:rPr>
        <w:t xml:space="preserve">guard.</w:t>
      </w:r>
    </w:p>
    <w:p>
      <w:pPr>
        <w:pStyle w:val="ListParagraph"/>
        <w:numPr>
          <w:ilvl w:val="0"/>
          <w:numId w:val="2"/>
        </w:numPr>
        <w:spacing w:after="50" w:line="288"/>
      </w:pPr>
      <w:r>
        <w:rPr>
          <w:rFonts w:ascii="Fraunces" w:cs="Fraunces" w:eastAsia="Fraunces" w:hAnsi="Fraunces"/>
          <w:b w:val="false"/>
          <w:bCs w:val="false"/>
          <w:i w:val="false"/>
          <w:iCs w:val="false"/>
          <w:color w:val="1A1814"/>
          <w:sz w:val="21"/>
          <w:szCs w:val="21"/>
        </w:rPr>
        <w:t xml:space="preserve">CbCR notification and filing — applies only above SAR 3.2B group consolidated revenue; group-level report handled by the ultimate parent</w:t>
      </w:r>
    </w:p>
    <w:p>
      <w:pPr>
        <w:pStyle w:val="ListParagraph"/>
        <w:numPr>
          <w:ilvl w:val="0"/>
          <w:numId w:val="2"/>
        </w:numPr>
        <w:spacing w:after="50" w:line="288"/>
      </w:pPr>
      <w:r>
        <w:rPr>
          <w:rFonts w:ascii="Fraunces" w:cs="Fraunces" w:eastAsia="Fraunces" w:hAnsi="Fraunces"/>
          <w:b w:val="false"/>
          <w:bCs w:val="false"/>
          <w:i w:val="false"/>
          <w:iCs w:val="false"/>
          <w:color w:val="1A1814"/>
          <w:sz w:val="21"/>
          <w:szCs w:val="21"/>
        </w:rPr>
        <w:t xml:space="preserve">Advance Pricing Agreement (APA) negotiation with ZATCA — specialist engagement, long duration</w:t>
      </w:r>
    </w:p>
    <w:p>
      <w:pPr>
        <w:pStyle w:val="ListParagraph"/>
        <w:numPr>
          <w:ilvl w:val="0"/>
          <w:numId w:val="2"/>
        </w:numPr>
        <w:spacing w:after="50" w:line="288"/>
      </w:pPr>
      <w:r>
        <w:rPr>
          <w:rFonts w:ascii="Fraunces" w:cs="Fraunces" w:eastAsia="Fraunces" w:hAnsi="Fraunces"/>
          <w:b w:val="false"/>
          <w:bCs w:val="false"/>
          <w:i w:val="false"/>
          <w:iCs w:val="false"/>
          <w:color w:val="1A1814"/>
          <w:sz w:val="21"/>
          <w:szCs w:val="21"/>
        </w:rPr>
        <w:t xml:space="preserve">Restructuring advice — we document existing arrangements; we do not advise on TP planning</w:t>
      </w:r>
    </w:p>
    <w:p>
      <w:pPr>
        <w:pStyle w:val="ListParagraph"/>
        <w:numPr>
          <w:ilvl w:val="0"/>
          <w:numId w:val="2"/>
        </w:numPr>
        <w:spacing w:after="50" w:line="288"/>
      </w:pPr>
      <w:r>
        <w:rPr>
          <w:rFonts w:ascii="Fraunces" w:cs="Fraunces" w:eastAsia="Fraunces" w:hAnsi="Fraunces"/>
          <w:b w:val="false"/>
          <w:bCs w:val="false"/>
          <w:i w:val="false"/>
          <w:iCs w:val="false"/>
          <w:color w:val="1A1814"/>
          <w:sz w:val="21"/>
          <w:szCs w:val="21"/>
        </w:rPr>
        <w:t xml:space="preserve">Litigation support on ZATCA TP audits — separate engagement if needed</w:t>
      </w:r>
    </w:p>
    <w:p>
      <w:pPr>
        <w:pStyle w:val="ListParagraph"/>
        <w:numPr>
          <w:ilvl w:val="0"/>
          <w:numId w:val="2"/>
        </w:numPr>
        <w:spacing w:after="50" w:line="288"/>
      </w:pPr>
      <w:r>
        <w:rPr>
          <w:rFonts w:ascii="Fraunces" w:cs="Fraunces" w:eastAsia="Fraunces" w:hAnsi="Fraunces"/>
          <w:b w:val="false"/>
          <w:bCs w:val="false"/>
          <w:i w:val="false"/>
          <w:iCs w:val="false"/>
          <w:color w:val="1A1814"/>
          <w:sz w:val="21"/>
          <w:szCs w:val="21"/>
        </w:rPr>
        <w:t xml:space="preserve">Valuation of intangibles subject to related-party licence arrangements — refer to valuation specialist</w:t>
      </w:r>
    </w:p>
    <w:p>
      <w:pPr>
        <w:pBdr>
          <w:bottom w:val="single" w:color="1A1814" w:sz="6" w:space="6"/>
        </w:pBdr>
        <w:spacing w:after="60" w:before="300"/>
      </w:pPr>
      <w:r>
        <w:rPr>
          <w:rFonts w:ascii="JetBrains Mono" w:cs="JetBrains Mono" w:eastAsia="JetBrains Mono" w:hAnsi="JetBrains Mono"/>
          <w:color w:val="A8341F"/>
          <w:spacing w:val="28"/>
          <w:sz w:val="17"/>
          <w:szCs w:val="17"/>
        </w:rPr>
        <w:t xml:space="preserve">05  /  DELIVERY METHODOLOGY</w:t>
      </w:r>
    </w:p>
    <w:p>
      <w:pPr>
        <w:spacing w:after="120" w:before="40"/>
      </w:pPr>
      <w:r>
        <w:rPr>
          <w:rFonts w:ascii="Fraunces" w:cs="Fraunces" w:eastAsia="Fraunces" w:hAnsi="Fraunces"/>
          <w:b w:val="false"/>
          <w:bCs w:val="false"/>
          <w:i w:val="false"/>
          <w:iCs w:val="false"/>
          <w:color w:val="78726A"/>
          <w:sz w:val="21"/>
          <w:szCs w:val="21"/>
        </w:rPr>
        <w:t xml:space="preserve">Week-by-week work </w:t>
      </w:r>
      <w:r>
        <w:rPr>
          <w:rFonts w:ascii="Fraunces" w:cs="Fraunces" w:eastAsia="Fraunces" w:hAnsi="Fraunces"/>
          <w:b w:val="false"/>
          <w:bCs w:val="false"/>
          <w:i/>
          <w:iCs/>
          <w:color w:val="A8341F"/>
          <w:sz w:val="21"/>
          <w:szCs w:val="21"/>
        </w:rPr>
        <w:t xml:space="preserve">plan.</w:t>
      </w:r>
    </w:p>
    <w:p>
      <w:pPr>
        <w:pStyle w:val="ListParagraph"/>
        <w:numPr>
          <w:ilvl w:val="0"/>
          <w:numId w:val="2"/>
        </w:numPr>
        <w:spacing w:after="50" w:line="288"/>
      </w:pPr>
      <w:r>
        <w:rPr>
          <w:rFonts w:ascii="Fraunces" w:cs="Fraunces" w:eastAsia="Fraunces" w:hAnsi="Fraunces"/>
          <w:b w:val="false"/>
          <w:bCs w:val="false"/>
          <w:i w:val="false"/>
          <w:iCs w:val="false"/>
          <w:color w:val="1A1814"/>
          <w:sz w:val="21"/>
          <w:szCs w:val="21"/>
        </w:rPr>
        <w:t xml:space="preserve">Week 1 — Scoping. Review of group structure, related-party transaction schedule, prior-year CTDF (if any), Zakat/CT filing positions, and confirmation of which documentation threshold the entity falls under for the tested year</w:t>
      </w:r>
    </w:p>
    <w:p>
      <w:pPr>
        <w:pStyle w:val="ListParagraph"/>
        <w:numPr>
          <w:ilvl w:val="0"/>
          <w:numId w:val="2"/>
        </w:numPr>
        <w:spacing w:after="50" w:line="288"/>
      </w:pPr>
      <w:r>
        <w:rPr>
          <w:rFonts w:ascii="Fraunces" w:cs="Fraunces" w:eastAsia="Fraunces" w:hAnsi="Fraunces"/>
          <w:b w:val="false"/>
          <w:bCs w:val="false"/>
          <w:i w:val="false"/>
          <w:iCs w:val="false"/>
          <w:color w:val="1A1814"/>
          <w:sz w:val="21"/>
          <w:szCs w:val="21"/>
        </w:rPr>
        <w:t xml:space="preserve">Week 2 — Functional analysis workshop with client's finance and operations leads. Characterisation of each entity's role</w:t>
      </w:r>
    </w:p>
    <w:p>
      <w:pPr>
        <w:pStyle w:val="ListParagraph"/>
        <w:numPr>
          <w:ilvl w:val="0"/>
          <w:numId w:val="2"/>
        </w:numPr>
        <w:spacing w:after="50" w:line="288"/>
      </w:pPr>
      <w:r>
        <w:rPr>
          <w:rFonts w:ascii="Fraunces" w:cs="Fraunces" w:eastAsia="Fraunces" w:hAnsi="Fraunces"/>
          <w:b w:val="false"/>
          <w:bCs w:val="false"/>
          <w:i w:val="false"/>
          <w:iCs w:val="false"/>
          <w:color w:val="1A1814"/>
          <w:sz w:val="21"/>
          <w:szCs w:val="21"/>
        </w:rPr>
        <w:t xml:space="preserve">Week 3 — Method selection and rationale. Benchmarking database queries initiated</w:t>
      </w:r>
    </w:p>
    <w:p>
      <w:pPr>
        <w:pStyle w:val="ListParagraph"/>
        <w:numPr>
          <w:ilvl w:val="0"/>
          <w:numId w:val="2"/>
        </w:numPr>
        <w:spacing w:after="50" w:line="288"/>
      </w:pPr>
      <w:r>
        <w:rPr>
          <w:rFonts w:ascii="Fraunces" w:cs="Fraunces" w:eastAsia="Fraunces" w:hAnsi="Fraunces"/>
          <w:b w:val="false"/>
          <w:bCs w:val="false"/>
          <w:i w:val="false"/>
          <w:iCs w:val="false"/>
          <w:color w:val="1A1814"/>
          <w:sz w:val="21"/>
          <w:szCs w:val="21"/>
        </w:rPr>
        <w:t xml:space="preserve">Week 4 — Benchmarking analysis completed. Interquartile range calculations. Adjustments documented</w:t>
      </w:r>
    </w:p>
    <w:p>
      <w:pPr>
        <w:pStyle w:val="ListParagraph"/>
        <w:numPr>
          <w:ilvl w:val="0"/>
          <w:numId w:val="2"/>
        </w:numPr>
        <w:spacing w:after="50" w:line="288"/>
      </w:pPr>
      <w:r>
        <w:rPr>
          <w:rFonts w:ascii="Fraunces" w:cs="Fraunces" w:eastAsia="Fraunces" w:hAnsi="Fraunces"/>
          <w:b w:val="false"/>
          <w:bCs w:val="false"/>
          <w:i w:val="false"/>
          <w:iCs w:val="false"/>
          <w:color w:val="1A1814"/>
          <w:sz w:val="21"/>
          <w:szCs w:val="21"/>
        </w:rPr>
        <w:t xml:space="preserve">Week 5 — Local File drafted. CTDF completed. Master File support provided if applicable</w:t>
      </w:r>
    </w:p>
    <w:p>
      <w:pPr>
        <w:pStyle w:val="ListParagraph"/>
        <w:numPr>
          <w:ilvl w:val="0"/>
          <w:numId w:val="2"/>
        </w:numPr>
        <w:spacing w:after="50" w:line="288"/>
      </w:pPr>
      <w:r>
        <w:rPr>
          <w:rFonts w:ascii="Fraunces" w:cs="Fraunces" w:eastAsia="Fraunces" w:hAnsi="Fraunces"/>
          <w:b w:val="false"/>
          <w:bCs w:val="false"/>
          <w:i w:val="false"/>
          <w:iCs w:val="false"/>
          <w:color w:val="1A1814"/>
          <w:sz w:val="21"/>
          <w:szCs w:val="21"/>
        </w:rPr>
        <w:t xml:space="preserve">Week 6–7 — Auditor affidavit package assembled. Review with client. Final delivery. Support for auditor queries</w:t>
      </w:r>
    </w:p>
    <w:p>
      <w:pPr>
        <w:pBdr>
          <w:bottom w:val="single" w:color="1A1814" w:sz="6" w:space="6"/>
        </w:pBdr>
        <w:spacing w:after="60" w:before="300"/>
      </w:pPr>
      <w:r>
        <w:rPr>
          <w:rFonts w:ascii="JetBrains Mono" w:cs="JetBrains Mono" w:eastAsia="JetBrains Mono" w:hAnsi="JetBrains Mono"/>
          <w:color w:val="A8341F"/>
          <w:spacing w:val="28"/>
          <w:sz w:val="17"/>
          <w:szCs w:val="17"/>
        </w:rPr>
        <w:t xml:space="preserve">06  /  FEE LOGIC</w:t>
      </w:r>
    </w:p>
    <w:p>
      <w:pPr>
        <w:spacing w:after="120" w:before="40"/>
      </w:pPr>
      <w:r>
        <w:rPr>
          <w:rFonts w:ascii="Fraunces" w:cs="Fraunces" w:eastAsia="Fraunces" w:hAnsi="Fraunces"/>
          <w:b w:val="false"/>
          <w:bCs w:val="false"/>
          <w:i w:val="false"/>
          <w:iCs w:val="false"/>
          <w:color w:val="78726A"/>
          <w:sz w:val="21"/>
          <w:szCs w:val="21"/>
        </w:rPr>
        <w:t xml:space="preserve">How the price is </w:t>
      </w:r>
      <w:r>
        <w:rPr>
          <w:rFonts w:ascii="Fraunces" w:cs="Fraunces" w:eastAsia="Fraunces" w:hAnsi="Fraunces"/>
          <w:b w:val="false"/>
          <w:bCs w:val="false"/>
          <w:i/>
          <w:iCs/>
          <w:color w:val="A8341F"/>
          <w:sz w:val="21"/>
          <w:szCs w:val="21"/>
        </w:rPr>
        <w:t xml:space="preserve">set.</w:t>
      </w:r>
    </w:p>
    <w:p>
      <w:pPr>
        <w:spacing w:after="120" w:line="300"/>
        <w:jc w:val="left"/>
      </w:pPr>
      <w:r>
        <w:rPr>
          <w:rFonts w:ascii="Fraunces" w:cs="Fraunces" w:eastAsia="Fraunces" w:hAnsi="Fraunces"/>
          <w:b w:val="false"/>
          <w:bCs w:val="false"/>
          <w:i w:val="false"/>
          <w:iCs w:val="false"/>
          <w:color w:val="1A1814"/>
          <w:sz w:val="21"/>
          <w:szCs w:val="21"/>
        </w:rPr>
        <w:t xml:space="preserve">CTDF only, simple related-party profile, entity below the documentation threshold: SAR 15,000. CTDF plus Local File where controlled transactions fall in the SAR 48M–100M band (mandatory for Zakat payers from FY2027, optional before): SAR 35,000–50,000. CTDF plus Local File plus Master File above SAR 100M controlled transactions: SAR 55,000–70,000. Above SAR 3.2B group revenue (CbCR territory) or APA-track engagements: out of scope; refer to Big Four or specialist TP practice.</w:t>
      </w:r>
    </w:p>
    <w:p>
      <w:pPr>
        <w:pBdr>
          <w:bottom w:val="single" w:color="1A1814" w:sz="6" w:space="6"/>
        </w:pBdr>
        <w:spacing w:after="60" w:before="300"/>
      </w:pPr>
      <w:r>
        <w:rPr>
          <w:rFonts w:ascii="JetBrains Mono" w:cs="JetBrains Mono" w:eastAsia="JetBrains Mono" w:hAnsi="JetBrains Mono"/>
          <w:color w:val="A8341F"/>
          <w:spacing w:val="28"/>
          <w:sz w:val="17"/>
          <w:szCs w:val="17"/>
        </w:rPr>
        <w:t xml:space="preserve">07  /  RISK FLAGS</w:t>
      </w:r>
    </w:p>
    <w:p>
      <w:pPr>
        <w:spacing w:after="120" w:before="40"/>
      </w:pPr>
      <w:r>
        <w:rPr>
          <w:rFonts w:ascii="Fraunces" w:cs="Fraunces" w:eastAsia="Fraunces" w:hAnsi="Fraunces"/>
          <w:b w:val="false"/>
          <w:bCs w:val="false"/>
          <w:i w:val="false"/>
          <w:iCs w:val="false"/>
          <w:color w:val="78726A"/>
          <w:sz w:val="21"/>
          <w:szCs w:val="21"/>
        </w:rPr>
        <w:t xml:space="preserve">What can go wrong, how to </w:t>
      </w:r>
      <w:r>
        <w:rPr>
          <w:rFonts w:ascii="Fraunces" w:cs="Fraunces" w:eastAsia="Fraunces" w:hAnsi="Fraunces"/>
          <w:b w:val="false"/>
          <w:bCs w:val="false"/>
          <w:i/>
          <w:iCs/>
          <w:color w:val="A8341F"/>
          <w:sz w:val="21"/>
          <w:szCs w:val="21"/>
        </w:rPr>
        <w:t xml:space="preserve">handle it.</w:t>
      </w:r>
    </w:p>
    <w:p>
      <w:pPr>
        <w:pStyle w:val="ListParagraph"/>
        <w:numPr>
          <w:ilvl w:val="0"/>
          <w:numId w:val="2"/>
        </w:numPr>
        <w:spacing w:after="50" w:line="288"/>
      </w:pPr>
      <w:r>
        <w:rPr>
          <w:rFonts w:ascii="Fraunces" w:cs="Fraunces" w:eastAsia="Fraunces" w:hAnsi="Fraunces"/>
          <w:b w:val="false"/>
          <w:bCs w:val="false"/>
          <w:i w:val="false"/>
          <w:iCs w:val="false"/>
          <w:color w:val="1A1814"/>
          <w:sz w:val="21"/>
          <w:szCs w:val="21"/>
        </w:rPr>
        <w:t xml:space="preserve">Zakat-payer thresholds rest on newer ZATCA guidance issued in Arabic — the SAR 6M small-enterprise exemption and SAR 3.2B CbCR threshold are firm in the official English bylaws, but the phased SAR 100M / SAR 48M Zakat-payer documentation thresholds should be confirmed against the latest Arabic ZATCA guideline and the Arabic extract attached to any client-facing checklist</w:t>
      </w:r>
    </w:p>
    <w:p>
      <w:pPr>
        <w:pStyle w:val="ListParagraph"/>
        <w:numPr>
          <w:ilvl w:val="0"/>
          <w:numId w:val="2"/>
        </w:numPr>
        <w:spacing w:after="50" w:line="288"/>
      </w:pPr>
      <w:r>
        <w:rPr>
          <w:rFonts w:ascii="Fraunces" w:cs="Fraunces" w:eastAsia="Fraunces" w:hAnsi="Fraunces"/>
          <w:b w:val="false"/>
          <w:bCs w:val="false"/>
          <w:i w:val="false"/>
          <w:iCs w:val="false"/>
          <w:color w:val="1A1814"/>
          <w:sz w:val="21"/>
          <w:szCs w:val="21"/>
        </w:rPr>
        <w:t xml:space="preserve">Benchmarking data cost — Bloomberg, RoyaltyRange, S&amp;P Capital IQ subscriptions are priced for enterprise use. For single engagements, rely on publicly available data (annual reports, SAMA interest-rate benchmarks, ZATCA published benchmarks) and document the methodology limitation</w:t>
      </w:r>
    </w:p>
    <w:p>
      <w:pPr>
        <w:pStyle w:val="ListParagraph"/>
        <w:numPr>
          <w:ilvl w:val="0"/>
          <w:numId w:val="2"/>
        </w:numPr>
        <w:spacing w:after="50" w:line="288"/>
      </w:pPr>
      <w:r>
        <w:rPr>
          <w:rFonts w:ascii="Fraunces" w:cs="Fraunces" w:eastAsia="Fraunces" w:hAnsi="Fraunces"/>
          <w:b w:val="false"/>
          <w:bCs w:val="false"/>
          <w:i w:val="false"/>
          <w:iCs w:val="false"/>
          <w:color w:val="1A1814"/>
          <w:sz w:val="21"/>
          <w:szCs w:val="21"/>
        </w:rPr>
        <w:t xml:space="preserve">Client's prior-year CTDF position is indefensible — flag early, scope whether the engagement includes amended prior-year filings</w:t>
      </w:r>
    </w:p>
    <w:p>
      <w:pPr>
        <w:pStyle w:val="ListParagraph"/>
        <w:numPr>
          <w:ilvl w:val="0"/>
          <w:numId w:val="2"/>
        </w:numPr>
        <w:spacing w:after="50" w:line="288"/>
      </w:pPr>
      <w:r>
        <w:rPr>
          <w:rFonts w:ascii="Fraunces" w:cs="Fraunces" w:eastAsia="Fraunces" w:hAnsi="Fraunces"/>
          <w:b w:val="false"/>
          <w:bCs w:val="false"/>
          <w:i w:val="false"/>
          <w:iCs w:val="false"/>
          <w:color w:val="1A1814"/>
          <w:sz w:val="21"/>
          <w:szCs w:val="21"/>
        </w:rPr>
        <w:t xml:space="preserve">ZATCA audits the documentation post-delivery and requests support — scope whether support is included or billed separately at engagement letter stage</w:t>
      </w:r>
    </w:p>
    <w:p>
      <w:pPr>
        <w:pStyle w:val="ListParagraph"/>
        <w:numPr>
          <w:ilvl w:val="0"/>
          <w:numId w:val="2"/>
        </w:numPr>
        <w:spacing w:after="50" w:line="288"/>
      </w:pPr>
      <w:r>
        <w:rPr>
          <w:rFonts w:ascii="Fraunces" w:cs="Fraunces" w:eastAsia="Fraunces" w:hAnsi="Fraunces"/>
          <w:b w:val="false"/>
          <w:bCs w:val="false"/>
          <w:i w:val="false"/>
          <w:iCs w:val="false"/>
          <w:color w:val="1A1814"/>
          <w:sz w:val="21"/>
          <w:szCs w:val="21"/>
        </w:rPr>
        <w:t xml:space="preserve">Group TP policy is inconsistent with local KSA arrangement — document the conflict, do not paper over it</w:t>
      </w:r>
    </w:p>
    <w:p>
      <w:pPr>
        <w:pStyle w:val="ListParagraph"/>
        <w:numPr>
          <w:ilvl w:val="0"/>
          <w:numId w:val="2"/>
        </w:numPr>
        <w:spacing w:after="50" w:line="288"/>
      </w:pPr>
      <w:r>
        <w:rPr>
          <w:rFonts w:ascii="Fraunces" w:cs="Fraunces" w:eastAsia="Fraunces" w:hAnsi="Fraunces"/>
          <w:b w:val="false"/>
          <w:bCs w:val="false"/>
          <w:i w:val="false"/>
          <w:iCs w:val="false"/>
          <w:color w:val="1A1814"/>
          <w:sz w:val="21"/>
          <w:szCs w:val="21"/>
        </w:rPr>
        <w:t xml:space="preserve">Client expects tax-planning advice bundled with documentation — scope the engagement as documentation only; tax planning is a separate, higher-risk service we do not currently offer</w:t>
      </w:r>
    </w:p>
    <w:p>
      <w:pPr>
        <w:pBdr>
          <w:bottom w:val="single" w:color="1A1814" w:sz="6" w:space="6"/>
        </w:pBdr>
        <w:spacing w:after="60" w:before="300"/>
      </w:pPr>
      <w:r>
        <w:rPr>
          <w:rFonts w:ascii="JetBrains Mono" w:cs="JetBrains Mono" w:eastAsia="JetBrains Mono" w:hAnsi="JetBrains Mono"/>
          <w:color w:val="A8341F"/>
          <w:spacing w:val="28"/>
          <w:sz w:val="17"/>
          <w:szCs w:val="17"/>
        </w:rPr>
        <w:t xml:space="preserve">08  /  REFERRAL-OUT PROTOCOL</w:t>
      </w:r>
    </w:p>
    <w:p>
      <w:pPr>
        <w:spacing w:after="120" w:before="40"/>
      </w:pPr>
      <w:r>
        <w:rPr>
          <w:rFonts w:ascii="Fraunces" w:cs="Fraunces" w:eastAsia="Fraunces" w:hAnsi="Fraunces"/>
          <w:b w:val="false"/>
          <w:bCs w:val="false"/>
          <w:i w:val="false"/>
          <w:iCs w:val="false"/>
          <w:color w:val="78726A"/>
          <w:sz w:val="21"/>
          <w:szCs w:val="21"/>
        </w:rPr>
        <w:t xml:space="preserve">If it is not a fit, where to </w:t>
      </w:r>
      <w:r>
        <w:rPr>
          <w:rFonts w:ascii="Fraunces" w:cs="Fraunces" w:eastAsia="Fraunces" w:hAnsi="Fraunces"/>
          <w:b w:val="false"/>
          <w:bCs w:val="false"/>
          <w:i/>
          <w:iCs/>
          <w:color w:val="A8341F"/>
          <w:sz w:val="21"/>
          <w:szCs w:val="21"/>
        </w:rPr>
        <w:t xml:space="preserve">send them.</w:t>
      </w:r>
    </w:p>
    <w:p>
      <w:pPr>
        <w:pStyle w:val="ListParagraph"/>
        <w:numPr>
          <w:ilvl w:val="0"/>
          <w:numId w:val="2"/>
        </w:numPr>
        <w:spacing w:after="50" w:line="288"/>
      </w:pPr>
      <w:r>
        <w:rPr>
          <w:rFonts w:ascii="Fraunces" w:cs="Fraunces" w:eastAsia="Fraunces" w:hAnsi="Fraunces"/>
          <w:b w:val="false"/>
          <w:bCs w:val="false"/>
          <w:i w:val="false"/>
          <w:iCs w:val="false"/>
          <w:color w:val="1A1814"/>
          <w:sz w:val="21"/>
          <w:szCs w:val="21"/>
        </w:rPr>
        <w:t xml:space="preserve">APA track or major ZATCA TP audit defence → Big Four TP practice or specialist MENA firm (Al Tamimi tax, DLA Piper, Baker McKenzie)</w:t>
      </w:r>
    </w:p>
    <w:p>
      <w:pPr>
        <w:pStyle w:val="ListParagraph"/>
        <w:numPr>
          <w:ilvl w:val="0"/>
          <w:numId w:val="2"/>
        </w:numPr>
        <w:spacing w:after="50" w:line="288"/>
      </w:pPr>
      <w:r>
        <w:rPr>
          <w:rFonts w:ascii="Fraunces" w:cs="Fraunces" w:eastAsia="Fraunces" w:hAnsi="Fraunces"/>
          <w:b w:val="false"/>
          <w:bCs w:val="false"/>
          <w:i w:val="false"/>
          <w:iCs w:val="false"/>
          <w:color w:val="1A1814"/>
          <w:sz w:val="21"/>
          <w:szCs w:val="21"/>
        </w:rPr>
        <w:t xml:space="preserve">Valuation of intangibles or IP → specialist valuation firm</w:t>
      </w:r>
    </w:p>
    <w:p>
      <w:pPr>
        <w:pStyle w:val="ListParagraph"/>
        <w:numPr>
          <w:ilvl w:val="0"/>
          <w:numId w:val="2"/>
        </w:numPr>
        <w:spacing w:after="50" w:line="288"/>
      </w:pPr>
      <w:r>
        <w:rPr>
          <w:rFonts w:ascii="Fraunces" w:cs="Fraunces" w:eastAsia="Fraunces" w:hAnsi="Fraunces"/>
          <w:b w:val="false"/>
          <w:bCs w:val="false"/>
          <w:i w:val="false"/>
          <w:iCs w:val="false"/>
          <w:color w:val="1A1814"/>
          <w:sz w:val="21"/>
          <w:szCs w:val="21"/>
        </w:rPr>
        <w:t xml:space="preserve">Restructuring advice → specialist TP planning firm</w:t>
      </w:r>
    </w:p>
    <w:p>
      <w:pPr>
        <w:pBdr>
          <w:bottom w:val="single" w:color="1A1814" w:sz="6" w:space="6"/>
        </w:pBdr>
        <w:spacing w:after="60" w:before="300"/>
      </w:pPr>
      <w:r>
        <w:rPr>
          <w:rFonts w:ascii="JetBrains Mono" w:cs="JetBrains Mono" w:eastAsia="JetBrains Mono" w:hAnsi="JetBrains Mono"/>
          <w:color w:val="A8341F"/>
          <w:spacing w:val="28"/>
          <w:sz w:val="17"/>
          <w:szCs w:val="17"/>
        </w:rPr>
        <w:t xml:space="preserve">09  /  A NOTE ON DELIVERY</w:t>
      </w:r>
    </w:p>
    <w:p>
      <w:pPr>
        <w:spacing w:after="120" w:before="40"/>
      </w:pPr>
      <w:r>
        <w:rPr>
          <w:rFonts w:ascii="Fraunces" w:cs="Fraunces" w:eastAsia="Fraunces" w:hAnsi="Fraunces"/>
          <w:b w:val="false"/>
          <w:bCs w:val="false"/>
          <w:i w:val="false"/>
          <w:iCs w:val="false"/>
          <w:color w:val="78726A"/>
          <w:sz w:val="21"/>
          <w:szCs w:val="21"/>
        </w:rPr>
        <w:t xml:space="preserve">The standard, not the </w:t>
      </w:r>
      <w:r>
        <w:rPr>
          <w:rFonts w:ascii="Fraunces" w:cs="Fraunces" w:eastAsia="Fraunces" w:hAnsi="Fraunces"/>
          <w:b w:val="false"/>
          <w:bCs w:val="false"/>
          <w:i/>
          <w:iCs/>
          <w:color w:val="A8341F"/>
          <w:sz w:val="21"/>
          <w:szCs w:val="21"/>
        </w:rPr>
        <w:t xml:space="preserve">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D8D2C6" w:sz="2"/>
              <w:left w:val="none"/>
              <w:bottom w:val="single" w:color="D8D2C6" w:sz="2"/>
              <w:right w:val="none"/>
            </w:tcBorders>
            <w:shd w:fill="1A1814" w:color="auto" w:val="clear"/>
            <w:tcMar>
              <w:top w:type="dxa" w:w="80"/>
              <w:left w:type="dxa" w:w="130"/>
              <w:bottom w:type="dxa" w:w="80"/>
              <w:right w:type="dxa" w:w="130"/>
            </w:tcMar>
            <w:vAlign w:val="center"/>
          </w:tcPr>
          <w:p>
            <w:pPr>
              <w:spacing w:after="0" w:line="268"/>
            </w:pPr>
            <w:r>
              <w:rPr>
                <w:rFonts w:ascii="JetBrains Mono" w:cs="JetBrains Mono" w:eastAsia="JetBrains Mono" w:hAnsi="JetBrains Mono"/>
                <w:b/>
                <w:bCs/>
                <w:color w:val="F4F1EA"/>
                <w:spacing w:val="18"/>
                <w:sz w:val="15"/>
                <w:szCs w:val="15"/>
              </w:rPr>
              <w:t xml:space="preserve">A NOTE ON DELIVERY *This service requires deep, specific knowledge of ZATCA TP circulars and OECD BEPS principles. It is the most technical service on the list and the one with the highest exposure risk if delivered poorly. Scope carefully; decline engagements that require expertise beyond documented capability. Where taken, deliver at a standard that lets the client's auditor issue their affidavit with confidence — that is the quality bar.*</w:t>
            </w:r>
          </w:p>
        </w:tc>
      </w:tr>
    </w:tbl>
    <w:p>
      <w:pPr>
        <w:spacing w:after="80"/>
      </w:pPr>
      <w:r>
        <w:rPr>
          <w:sz w:val="2"/>
          <w:szCs w:val="2"/>
        </w:rP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2C6" w:sz="4" w:space="6"/>
      </w:pBdr>
      <w:tabs>
        <w:tab w:val="right" w:pos="9360"/>
      </w:tabs>
    </w:pPr>
    <w:r>
      <w:rPr>
        <w:rFonts w:ascii="JetBrains Mono" w:cs="JetBrains Mono" w:eastAsia="JetBrains Mono" w:hAnsi="JetBrains Mono"/>
        <w:color w:val="78726A"/>
        <w:spacing w:val="20"/>
        <w:sz w:val="13"/>
        <w:szCs w:val="13"/>
      </w:rPr>
      <w:t xml:space="preserve">INTERNAL  ·  AHMAD AL HINAITI</w:t>
    </w:r>
    <w:r>
      <w:rPr>
        <w:rFonts w:ascii="JetBrains Mono" w:cs="JetBrains Mono" w:eastAsia="JetBrains Mono" w:hAnsi="JetBrains Mono"/>
        <w:color w:val="78726A"/>
        <w:sz w:val="13"/>
        <w:szCs w:val="13"/>
      </w:rPr>
      <w:t xml:space="preserve">	</w:t>
    </w:r>
    <w:r>
      <w:rPr>
        <w:rFonts w:ascii="JetBrains Mono" w:cs="JetBrains Mono" w:eastAsia="JetBrains Mono" w:hAnsi="JetBrains Mono"/>
        <w:color w:val="78726A"/>
        <w:spacing w:val="20"/>
        <w:sz w:val="13"/>
        <w:szCs w:val="13"/>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2C6" w:sz="4" w:space="6"/>
      </w:pBdr>
      <w:tabs>
        <w:tab w:val="right" w:pos="9360"/>
      </w:tabs>
    </w:pPr>
    <w:r>
      <w:rPr>
        <w:rFonts w:ascii="JetBrains Mono" w:cs="JetBrains Mono" w:eastAsia="JetBrains Mono" w:hAnsi="JetBrains Mono"/>
        <w:color w:val="78726A"/>
        <w:spacing w:val="20"/>
        <w:sz w:val="13"/>
        <w:szCs w:val="13"/>
      </w:rPr>
      <w:t xml:space="preserve">DAFTAR  ·  ADVISORY</w:t>
    </w:r>
    <w:r>
      <w:rPr>
        <w:rFonts w:ascii="JetBrains Mono" w:cs="JetBrains Mono" w:eastAsia="JetBrains Mono" w:hAnsi="JetBrains Mono"/>
        <w:color w:val="78726A"/>
        <w:spacing w:val="20"/>
        <w:sz w:val="13"/>
        <w:szCs w:val="13"/>
      </w:rPr>
      <w:t xml:space="preserve">	B-03  ·  KSA TRANSFER PRICING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Fraunces" w:cs="Fraunces" w:eastAsia="Fraunces" w:hAnsi="Fraunces"/>
        <w:color w:val="1A1814"/>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Daftar_Services_B03_KSA_Transfer_Pricing</dc:title>
  <dc:creator>Daftar Advisory</dc:creator>
  <cp:lastModifiedBy>Un-named</cp:lastModifiedBy>
  <cp:revision>1</cp:revision>
  <dcterms:created xsi:type="dcterms:W3CDTF">2026-06-01T23:25:36.727Z</dcterms:created>
  <dcterms:modified xsi:type="dcterms:W3CDTF">2026-06-01T23:25:36.727Z</dcterms:modified>
</cp:coreProperties>
</file>

<file path=docProps/custom.xml><?xml version="1.0" encoding="utf-8"?>
<Properties xmlns="http://schemas.openxmlformats.org/officeDocument/2006/custom-properties" xmlns:vt="http://schemas.openxmlformats.org/officeDocument/2006/docPropsVTypes"/>
</file>