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C916" w14:textId="77777777" w:rsidR="00722E2A" w:rsidRPr="00084285" w:rsidRDefault="00722E2A">
      <w:pPr>
        <w:spacing w:before="280" w:line="276" w:lineRule="auto"/>
        <w:rPr>
          <w:rFonts w:ascii="Fraunces 72pt SemiBold" w:hAnsi="Fraunces 72pt SemiBold"/>
        </w:rPr>
      </w:pPr>
    </w:p>
    <w:p w14:paraId="262340F0" w14:textId="77777777" w:rsidR="00722E2A" w:rsidRPr="00084285" w:rsidRDefault="00000000">
      <w:pPr>
        <w:spacing w:before="40" w:after="16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sz w:val="60"/>
          <w:szCs w:val="60"/>
        </w:rPr>
        <w:t>Daftar</w:t>
      </w:r>
      <w:r w:rsidRPr="00084285">
        <w:rPr>
          <w:rFonts w:ascii="Fraunces 72pt SemiBold" w:hAnsi="Fraunces 72pt SemiBold"/>
          <w:i/>
          <w:iCs/>
          <w:color w:val="A8341F"/>
          <w:sz w:val="60"/>
          <w:szCs w:val="60"/>
        </w:rPr>
        <w:t xml:space="preserve"> Advisory.</w:t>
      </w:r>
    </w:p>
    <w:p w14:paraId="317EF8E7" w14:textId="77777777" w:rsidR="00722E2A" w:rsidRPr="00084285" w:rsidRDefault="00000000">
      <w:pPr>
        <w:spacing w:after="8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sz w:val="30"/>
          <w:szCs w:val="30"/>
        </w:rPr>
        <w:t>Website Compliance Copy Review</w:t>
      </w:r>
    </w:p>
    <w:p w14:paraId="6F1F74DB" w14:textId="77777777" w:rsidR="00722E2A" w:rsidRPr="00084285" w:rsidRDefault="00000000">
      <w:pPr>
        <w:spacing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color w:val="78726A"/>
          <w:sz w:val="18"/>
          <w:szCs w:val="18"/>
        </w:rPr>
        <w:t>daftaradvisory.com  ·</w:t>
      </w:r>
      <w:proofErr w:type="gramEnd"/>
      <w:r w:rsidRPr="00084285">
        <w:rPr>
          <w:rFonts w:ascii="Fraunces 72pt SemiBold" w:hAnsi="Fraunces 72pt SemiBold"/>
          <w:color w:val="78726A"/>
          <w:sz w:val="18"/>
          <w:szCs w:val="18"/>
        </w:rPr>
        <w:t xml:space="preserve">  Ahmad Al </w:t>
      </w:r>
      <w:proofErr w:type="gramStart"/>
      <w:r w:rsidRPr="00084285">
        <w:rPr>
          <w:rFonts w:ascii="Fraunces 72pt SemiBold" w:hAnsi="Fraunces 72pt SemiBold"/>
          <w:color w:val="78726A"/>
          <w:sz w:val="18"/>
          <w:szCs w:val="18"/>
        </w:rPr>
        <w:t>Hinaiti  ·</w:t>
      </w:r>
      <w:proofErr w:type="gramEnd"/>
      <w:r w:rsidRPr="00084285">
        <w:rPr>
          <w:rFonts w:ascii="Fraunces 72pt SemiBold" w:hAnsi="Fraunces 72pt SemiBold"/>
          <w:color w:val="78726A"/>
          <w:sz w:val="18"/>
          <w:szCs w:val="18"/>
        </w:rPr>
        <w:t xml:space="preserve">  </w:t>
      </w:r>
      <w:proofErr w:type="gramStart"/>
      <w:r w:rsidRPr="00084285">
        <w:rPr>
          <w:rFonts w:ascii="Fraunces 72pt SemiBold" w:hAnsi="Fraunces 72pt SemiBold"/>
          <w:color w:val="78726A"/>
          <w:sz w:val="18"/>
          <w:szCs w:val="18"/>
        </w:rPr>
        <w:t>2026  ·</w:t>
      </w:r>
      <w:proofErr w:type="gramEnd"/>
      <w:r w:rsidRPr="00084285">
        <w:rPr>
          <w:rFonts w:ascii="Fraunces 72pt SemiBold" w:hAnsi="Fraunces 72pt SemiBold"/>
          <w:color w:val="78726A"/>
          <w:sz w:val="18"/>
          <w:szCs w:val="18"/>
        </w:rPr>
        <w:t xml:space="preserve">  Internal</w:t>
      </w:r>
    </w:p>
    <w:p w14:paraId="24D2E594" w14:textId="77777777" w:rsidR="00722E2A" w:rsidRPr="00084285" w:rsidRDefault="00722E2A">
      <w:pPr>
        <w:pBdr>
          <w:bottom w:val="single" w:sz="8" w:space="1" w:color="A8341F"/>
        </w:pBdr>
        <w:spacing w:before="24" w:after="24" w:line="276" w:lineRule="auto"/>
        <w:rPr>
          <w:rFonts w:ascii="Fraunces 72pt SemiBold" w:hAnsi="Fraunces 72pt SemiBold"/>
        </w:rPr>
      </w:pPr>
    </w:p>
    <w:p w14:paraId="49BE2785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Purpose</w:t>
      </w:r>
    </w:p>
    <w:p w14:paraId="1EFF0178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This document contains the compliance wording review for daftaradvisory.com and the paste-ready replacement copy for every flagged element. Each section is labelled with its location on the site, the current wording, the compliance risk, and the exact replacement text.</w:t>
      </w:r>
    </w:p>
    <w:p w14:paraId="37E81E81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Two elements are priority before any further site distribution: A/02 (rename on public site) and C/03 (three-way exclusion). The others are important but carry lower immediate exposure.</w:t>
      </w:r>
    </w:p>
    <w:p w14:paraId="5EE70065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Summary  ·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Risk Overview</w:t>
      </w:r>
    </w:p>
    <w:p w14:paraId="5F07121C" w14:textId="77777777" w:rsidR="00722E2A" w:rsidRPr="00084285" w:rsidRDefault="00722E2A">
      <w:pPr>
        <w:spacing w:before="60" w:after="100" w:line="276" w:lineRule="auto"/>
        <w:rPr>
          <w:rFonts w:ascii="Fraunces 72pt SemiBold" w:hAnsi="Fraunces 72pt SemiBol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722E2A" w:rsidRPr="00084285" w14:paraId="0E957C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99D5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5C2B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A4A7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722E2A" w:rsidRPr="00084285" w14:paraId="424CDB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2E3F8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Site-wide footer — non-attest notice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05E03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3666A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Add one-line disclaimer to footer on every page</w:t>
            </w:r>
          </w:p>
        </w:tc>
      </w:tr>
      <w:tr w:rsidR="00722E2A" w:rsidRPr="00084285" w14:paraId="77D27D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66C01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 xml:space="preserve">A/01 IFRS </w:t>
            </w:r>
            <w:proofErr w:type="gramStart"/>
            <w:r w:rsidRPr="00084285">
              <w:rPr>
                <w:rFonts w:ascii="Fraunces 72pt SemiBold" w:hAnsi="Fraunces 72pt SemiBold"/>
                <w:sz w:val="18"/>
                <w:szCs w:val="18"/>
              </w:rPr>
              <w:t>FS — "</w:t>
            </w:r>
            <w:proofErr w:type="gramEnd"/>
            <w:r w:rsidRPr="00084285">
              <w:rPr>
                <w:rFonts w:ascii="Fraunces 72pt SemiBold" w:hAnsi="Fraunces 72pt SemiBold"/>
                <w:sz w:val="18"/>
                <w:szCs w:val="18"/>
              </w:rPr>
              <w:t>prepare" qualifier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DF3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A1863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66662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Add non-attest parenthetical to service description</w:t>
            </w:r>
          </w:p>
        </w:tc>
      </w:tr>
      <w:tr w:rsidR="00722E2A" w:rsidRPr="00084285" w14:paraId="7BBF33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747B1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A/</w:t>
            </w:r>
            <w:proofErr w:type="gramStart"/>
            <w:r w:rsidRPr="00084285">
              <w:rPr>
                <w:rFonts w:ascii="Fraunces 72pt SemiBold" w:hAnsi="Fraunces 72pt SemiBold"/>
                <w:sz w:val="18"/>
                <w:szCs w:val="18"/>
              </w:rPr>
              <w:t>02 — "</w:t>
            </w:r>
            <w:proofErr w:type="gramEnd"/>
            <w:r w:rsidRPr="00084285">
              <w:rPr>
                <w:rFonts w:ascii="Fraunces 72pt SemiBold" w:hAnsi="Fraunces 72pt SemiBold"/>
                <w:sz w:val="18"/>
                <w:szCs w:val="18"/>
              </w:rPr>
              <w:t>Independent technical review" name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63EEC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8B39B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Rename to "Technical Accounting Review" on public site</w:t>
            </w:r>
          </w:p>
        </w:tc>
      </w:tr>
      <w:tr w:rsidR="00722E2A" w:rsidRPr="00084285" w14:paraId="5AEA41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EE8E8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A/03 — "remediation" qualifier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DF3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9FC73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69E78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Clarify advisory-only; not audit-adjacent</w:t>
            </w:r>
          </w:p>
        </w:tc>
      </w:tr>
      <w:tr w:rsidR="00722E2A" w:rsidRPr="00084285" w14:paraId="3DBCA2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FB885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B/01 ZATCA — filing responsibility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6AB2C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17D31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Add one line: taxpayer retains filing responsibility</w:t>
            </w:r>
          </w:p>
        </w:tc>
      </w:tr>
      <w:tr w:rsidR="00722E2A" w:rsidRPr="00084285" w14:paraId="0D7B82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7AA31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 xml:space="preserve">B/02 UAE </w:t>
            </w:r>
            <w:proofErr w:type="gramStart"/>
            <w:r w:rsidRPr="00084285">
              <w:rPr>
                <w:rFonts w:ascii="Fraunces 72pt SemiBold" w:hAnsi="Fraunces 72pt SemiBold"/>
                <w:sz w:val="18"/>
                <w:szCs w:val="18"/>
              </w:rPr>
              <w:t>CT — "</w:t>
            </w:r>
            <w:proofErr w:type="gramEnd"/>
            <w:r w:rsidRPr="00084285">
              <w:rPr>
                <w:rFonts w:ascii="Fraunces 72pt SemiBold" w:hAnsi="Fraunces 72pt SemiBold"/>
                <w:sz w:val="18"/>
                <w:szCs w:val="18"/>
              </w:rPr>
              <w:t>amendments" / "election"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DF3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8D299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40548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Add "prepared for your licensed agent to file"</w:t>
            </w:r>
          </w:p>
        </w:tc>
      </w:tr>
      <w:tr w:rsidR="00722E2A" w:rsidRPr="00084285" w14:paraId="1FCD0F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7F462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B/03 KSA TP — scope clarity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731DD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0B217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Confirm documentation-only; referral for ZATCA rep</w:t>
            </w:r>
          </w:p>
        </w:tc>
      </w:tr>
      <w:tr w:rsidR="00722E2A" w:rsidRPr="00084285" w14:paraId="3C2F91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AE2C6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 xml:space="preserve">C/03 </w:t>
            </w:r>
            <w:proofErr w:type="gramStart"/>
            <w:r w:rsidRPr="00084285">
              <w:rPr>
                <w:rFonts w:ascii="Fraunces 72pt SemiBold" w:hAnsi="Fraunces 72pt SemiBold"/>
                <w:sz w:val="18"/>
                <w:szCs w:val="18"/>
              </w:rPr>
              <w:t>QoE — "</w:t>
            </w:r>
            <w:proofErr w:type="gramEnd"/>
            <w:r w:rsidRPr="00084285">
              <w:rPr>
                <w:rFonts w:ascii="Fraunces 72pt SemiBold" w:hAnsi="Fraunces 72pt SemiBold"/>
                <w:sz w:val="18"/>
                <w:szCs w:val="18"/>
              </w:rPr>
              <w:t>deal numbers"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A81B9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F6E1A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Add three-way exclusion: not valuation/opinion/audit</w:t>
            </w:r>
          </w:p>
        </w:tc>
      </w:tr>
      <w:tr w:rsidR="00722E2A" w:rsidRPr="00084285" w14:paraId="33E4B4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9A124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 xml:space="preserve">C/02 </w:t>
            </w:r>
            <w:proofErr w:type="spellStart"/>
            <w:r w:rsidRPr="00084285">
              <w:rPr>
                <w:rFonts w:ascii="Fraunces 72pt SemiBold" w:hAnsi="Fraunces 72pt SemiBold"/>
                <w:sz w:val="18"/>
                <w:szCs w:val="18"/>
              </w:rPr>
              <w:t>Nomu</w:t>
            </w:r>
            <w:proofErr w:type="spellEnd"/>
            <w:r w:rsidRPr="00084285">
              <w:rPr>
                <w:rFonts w:ascii="Fraunces 72pt SemiBold" w:hAnsi="Fraunces 72pt SemiBold"/>
                <w:sz w:val="18"/>
                <w:szCs w:val="18"/>
              </w:rPr>
              <w:t xml:space="preserve"> — CMA licensing</w:t>
            </w:r>
          </w:p>
        </w:tc>
        <w:tc>
          <w:tcPr>
            <w:tcW w:w="160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DF3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7A690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4F1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DBCE6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8"/>
                <w:szCs w:val="18"/>
              </w:rPr>
              <w:t>Clarify not CMA-licensed FA or reporting accountant</w:t>
            </w:r>
          </w:p>
        </w:tc>
      </w:tr>
    </w:tbl>
    <w:p w14:paraId="67EF3566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5EE08263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01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Site-Wide </w:t>
      </w: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Footer  —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Non-Attest Notice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4EAC99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7053A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0662C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>No non-attest notice appears in the live page body or persistent footer. The disclaimer exists only in downloadable PDFs.</w:t>
            </w:r>
          </w:p>
        </w:tc>
      </w:tr>
    </w:tbl>
    <w:p w14:paraId="4E8D66D6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21AEFAEF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50DD5879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 xml:space="preserve">Site-wide footer </w:t>
      </w:r>
      <w:proofErr w:type="gramStart"/>
      <w:r w:rsidRPr="00084285">
        <w:rPr>
          <w:rFonts w:ascii="Fraunces 72pt SemiBold" w:hAnsi="Fraunces 72pt SemiBold"/>
        </w:rPr>
        <w:t>component — appears</w:t>
      </w:r>
      <w:proofErr w:type="gramEnd"/>
      <w:r w:rsidRPr="00084285">
        <w:rPr>
          <w:rFonts w:ascii="Fraunces 72pt SemiBold" w:hAnsi="Fraunces 72pt SemiBold"/>
        </w:rPr>
        <w:t xml:space="preserve"> on every page. Add immediately below the contact block, above the copyright line.</w:t>
      </w:r>
    </w:p>
    <w:p w14:paraId="5697F5E5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lastRenderedPageBreak/>
        <w:t>Replacement copy — paste verbatim</w:t>
      </w:r>
    </w:p>
    <w:p w14:paraId="1EC1272A" w14:textId="77777777" w:rsidR="00722E2A" w:rsidRPr="00084285" w:rsidRDefault="00000000">
      <w:pPr>
        <w:pBdr>
          <w:left w:val="single" w:sz="12" w:space="8" w:color="A8341F"/>
        </w:pBdr>
        <w:spacing w:before="60" w:after="60" w:line="276" w:lineRule="auto"/>
        <w:ind w:left="560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i/>
          <w:iCs/>
          <w:color w:val="78726A"/>
          <w:sz w:val="19"/>
          <w:szCs w:val="19"/>
        </w:rPr>
        <w:t xml:space="preserve">Daftar Advisory is a non-attest advisory practice. The principal does not hold a JACPA, SOCPA, or UAE Ministry of Economy audit </w:t>
      </w:r>
      <w:proofErr w:type="spellStart"/>
      <w:r w:rsidRPr="00084285">
        <w:rPr>
          <w:rFonts w:ascii="Fraunces 72pt SemiBold" w:hAnsi="Fraunces 72pt SemiBold"/>
          <w:i/>
          <w:iCs/>
          <w:color w:val="78726A"/>
          <w:sz w:val="19"/>
          <w:szCs w:val="19"/>
        </w:rPr>
        <w:t>licence</w:t>
      </w:r>
      <w:proofErr w:type="spellEnd"/>
      <w:r w:rsidRPr="00084285">
        <w:rPr>
          <w:rFonts w:ascii="Fraunces 72pt SemiBold" w:hAnsi="Fraunces 72pt SemiBold"/>
          <w:i/>
          <w:iCs/>
          <w:color w:val="78726A"/>
          <w:sz w:val="19"/>
          <w:szCs w:val="19"/>
        </w:rPr>
        <w:t xml:space="preserve"> and does not perform statutory audit, review, or agreed-upon-procedures engagements. All engagements are governed by a written engagement letter with fixed scope, fixed fee, and a written non-attest disclaimer.</w:t>
      </w:r>
    </w:p>
    <w:p w14:paraId="730828FB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This is the same language used in the capability statement and The Daftar № 001. Consistency across surfaces matters — a visitor who sees the brief and then visits the site should read identical wording.</w:t>
      </w:r>
    </w:p>
    <w:p w14:paraId="1B192444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02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A/01 — IFRS Financial Statements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46009B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0FA94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9CA3F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 xml:space="preserve">"Prepare" is a legitimate advisory term. Risk is the absence of any </w:t>
            </w:r>
            <w:proofErr w:type="gramStart"/>
            <w:r w:rsidRPr="00084285">
              <w:rPr>
                <w:rFonts w:ascii="Fraunces 72pt SemiBold" w:hAnsi="Fraunces 72pt SemiBold"/>
                <w:sz w:val="19"/>
                <w:szCs w:val="19"/>
              </w:rPr>
              <w:t>qualifier — a</w:t>
            </w:r>
            <w:proofErr w:type="gramEnd"/>
            <w:r w:rsidRPr="00084285">
              <w:rPr>
                <w:rFonts w:ascii="Fraunces 72pt SemiBold" w:hAnsi="Fraunces 72pt SemiBold"/>
                <w:sz w:val="19"/>
                <w:szCs w:val="19"/>
              </w:rPr>
              <w:t xml:space="preserve"> reader who conflates preparation with audit or ISRE 2400 review may arrive at the scoping call with the wrong expectation.</w:t>
            </w:r>
          </w:p>
        </w:tc>
      </w:tr>
    </w:tbl>
    <w:p w14:paraId="205A0AFD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39645A10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59DFDC98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Service card for A/01 — the sub-description line beneath the headline "IFRS Financial Statements."</w:t>
      </w:r>
    </w:p>
    <w:p w14:paraId="7C1EA9AD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Before / After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E2A" w:rsidRPr="00084285" w14:paraId="043662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58B8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Current wording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62E2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Replacement copy</w:t>
            </w:r>
          </w:p>
        </w:tc>
      </w:tr>
      <w:tr w:rsidR="00722E2A" w:rsidRPr="00084285" w14:paraId="5FB98D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E00D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I prepare the financial statements that founders and CFOs in the Gulf rely on.</w:t>
            </w:r>
          </w:p>
        </w:tc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25E4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I prepare IFRS financial statements for founders and CFOs across the Gulf — full-scope preparation engagement, non-attest. No audit opinion is issued.</w:t>
            </w:r>
          </w:p>
        </w:tc>
      </w:tr>
    </w:tbl>
    <w:p w14:paraId="6C7609BD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Notes</w:t>
      </w:r>
    </w:p>
    <w:p w14:paraId="0760983E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"Preparation engagement" mirrors ISRS 4410 terminology. This signals technical fluency to the CFO reader while closing the expectation gap.</w:t>
      </w:r>
    </w:p>
    <w:p w14:paraId="1FBD2A50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03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A/02 — Technical Accounting </w:t>
      </w: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Review  (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rename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468E6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D03D9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96BEF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>"Independent technical review" is the highest-risk label on the site. In assurance standards, "independent review" has a regulated meaning — ISRE 2400 / ISRE 2410. A CFO or audit committee reading this could reasonably expect an assurance conclusion with an opinion letter. Daftar delivers neither.</w:t>
            </w:r>
          </w:p>
        </w:tc>
      </w:tr>
    </w:tbl>
    <w:p w14:paraId="60842722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48DE2D9A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0E883627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Service card headline for A/02 and any occurrence of "Independent Technical Review" in the navigation, services grid, or page copy.</w:t>
      </w:r>
    </w:p>
    <w:p w14:paraId="1A923B68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Rename — headline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E2A" w:rsidRPr="00084285" w14:paraId="283634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B1F6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Current wording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1882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Replacement copy</w:t>
            </w:r>
          </w:p>
        </w:tc>
      </w:tr>
      <w:tr w:rsidR="00722E2A" w:rsidRPr="00084285" w14:paraId="0BBD18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D3AC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Independent Technical Review</w:t>
            </w:r>
          </w:p>
        </w:tc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533C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Technical Accounting Review</w:t>
            </w:r>
          </w:p>
        </w:tc>
      </w:tr>
    </w:tbl>
    <w:p w14:paraId="705898A8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Rename — sub-description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E2A" w:rsidRPr="00084285" w14:paraId="08D65E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4877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Current wording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B235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Replacement copy</w:t>
            </w:r>
          </w:p>
        </w:tc>
      </w:tr>
      <w:tr w:rsidR="00722E2A" w:rsidRPr="00084285" w14:paraId="5D1738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31CD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lastRenderedPageBreak/>
              <w:t>An independent technical review of your financial statements against full IFRS.</w:t>
            </w:r>
          </w:p>
        </w:tc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5B30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A rigorous technical review of accounting positions, estimates, and disclosures against full IFRS — advisory only. No assurance conclusion or opinion letter is issued.</w:t>
            </w:r>
          </w:p>
        </w:tc>
      </w:tr>
    </w:tbl>
    <w:p w14:paraId="5EECB2C6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Notes</w:t>
      </w:r>
    </w:p>
    <w:p w14:paraId="39933CE2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"Technical Accounting Review" is accurate, distinctive, and carries no regulated-assurance connotation. The internal playbook (A-02) can keep its full name. The public site uses the renamed version only.</w:t>
      </w:r>
    </w:p>
    <w:p w14:paraId="6093739B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The phrase "advisory only. No assurance conclusion or opinion letter is issued." should appear in the service description on every surface where this service is named: the services page, the capability statement landing copy, and any LinkedIn or social content that references the service directly.</w:t>
      </w:r>
    </w:p>
    <w:p w14:paraId="13C6E26B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04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A/03 — Audit Readiness &amp; Remediation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3C8197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8E5EE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9CB1B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>"Remediation" could imply that Daftar corrects errors on behalf of, or in coordination with, the external auditor — edging toward agreed-upon-procedures territory. The service is advisory preparation only.</w:t>
            </w:r>
          </w:p>
        </w:tc>
      </w:tr>
    </w:tbl>
    <w:p w14:paraId="528B1D83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3DF8191C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71E81DF0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Service card sub-description for A/03.</w:t>
      </w:r>
    </w:p>
    <w:p w14:paraId="70D16710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Before / After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E2A" w:rsidRPr="00084285" w14:paraId="4C8642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B9CA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Current wording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404B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Replacement copy</w:t>
            </w:r>
          </w:p>
        </w:tc>
      </w:tr>
      <w:tr w:rsidR="00722E2A" w:rsidRPr="00084285" w14:paraId="1A2F38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BBB6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I prepare companies for their external audit.</w:t>
            </w:r>
          </w:p>
        </w:tc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12C7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Gap identification, working-paper remediation, and disclosure review — advisory preparation only. Daftar does not perform or assist the statutory </w:t>
            </w:r>
            <w:proofErr w:type="gramStart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audit, and</w:t>
            </w:r>
            <w:proofErr w:type="gramEnd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 does not act on behalf of the external auditor.</w:t>
            </w:r>
          </w:p>
        </w:tc>
      </w:tr>
    </w:tbl>
    <w:p w14:paraId="208744AA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Notes</w:t>
      </w:r>
    </w:p>
    <w:p w14:paraId="0061E8BB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The word "remediation" can stay in the service name — it is accurate and understood by the CFO audience as advisory clean-up. The qualifier in the body copy does the compliance work.</w:t>
      </w:r>
    </w:p>
    <w:p w14:paraId="4729FF89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05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B/01 — ZATCA Phase 2 Readiness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50585C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2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D0E0D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0E470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>ZATCA Phase 2 readiness is clearly advisory — systems configuration, not a regulated function. Risk is the absence of one sentence confirming that filing responsibility stays with the taxpayer.</w:t>
            </w:r>
          </w:p>
        </w:tc>
      </w:tr>
    </w:tbl>
    <w:p w14:paraId="68EB1733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1DE5FD7C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1B3A3E7D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Service card sub-description for B/01, below the headline.</w:t>
      </w:r>
    </w:p>
    <w:p w14:paraId="247BFCFB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Add — one line</w:t>
      </w:r>
    </w:p>
    <w:p w14:paraId="43A4EC2B" w14:textId="77777777" w:rsidR="00722E2A" w:rsidRPr="00084285" w:rsidRDefault="00000000">
      <w:pPr>
        <w:pBdr>
          <w:left w:val="single" w:sz="12" w:space="8" w:color="A8341F"/>
        </w:pBdr>
        <w:spacing w:before="60" w:after="60" w:line="276" w:lineRule="auto"/>
        <w:ind w:left="560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i/>
          <w:iCs/>
          <w:color w:val="78726A"/>
          <w:sz w:val="19"/>
          <w:szCs w:val="19"/>
        </w:rPr>
        <w:t>Advisory configuration support only. Filing responsibility and ZATCA registration remain with the taxpayer. Penalty appeals and ZATCA representation require a licensed tax representative.</w:t>
      </w:r>
    </w:p>
    <w:p w14:paraId="2905164C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06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B/02 — UAE Corporate 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4C6299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531EF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6CDF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>Two phrases risk implying a filing or regulatory function: "FY24 amendments" (could read as submitting an amendment to the FTA) and "election" (the QFZP election is made to the FTA — Daftar writes the analysis, not the election).</w:t>
            </w:r>
          </w:p>
        </w:tc>
      </w:tr>
    </w:tbl>
    <w:p w14:paraId="7D96733E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0FD00477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3A481549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Service card sub-description for B/02.</w:t>
      </w:r>
    </w:p>
    <w:p w14:paraId="7A655301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Before / After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E2A" w:rsidRPr="00084285" w14:paraId="12FD42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4421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Current wording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55B8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Replacement copy</w:t>
            </w:r>
          </w:p>
        </w:tc>
      </w:tr>
      <w:tr w:rsidR="00722E2A" w:rsidRPr="00084285" w14:paraId="630A29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F7C7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proofErr w:type="gramStart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UAE Corporate Tax,</w:t>
            </w:r>
            <w:proofErr w:type="gramEnd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 decided before year-end. FY24 amendments, FY25 planning, and the Small Business Relief vs QFZP election memo.</w:t>
            </w:r>
          </w:p>
        </w:tc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48CA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UAE Corporate Tax positions, technically prepared before year-end. FY24 amendment basis, FY25 planning memo, and Small Business Relief vs QFZP election analysis — prepared for your licensed FTA-registered tax agent to file and submit.</w:t>
            </w:r>
          </w:p>
        </w:tc>
      </w:tr>
    </w:tbl>
    <w:p w14:paraId="17E31ADA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Notes</w:t>
      </w:r>
    </w:p>
    <w:p w14:paraId="7E89ED24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 xml:space="preserve">"Prepared for your licensed FTA-registered tax agent to file and submit" is the single phrase that eliminates the ambiguity. It also reinforces the Daftar model: Daftar produces </w:t>
      </w:r>
      <w:proofErr w:type="gramStart"/>
      <w:r w:rsidRPr="00084285">
        <w:rPr>
          <w:rFonts w:ascii="Fraunces 72pt SemiBold" w:hAnsi="Fraunces 72pt SemiBold"/>
        </w:rPr>
        <w:t>the technical</w:t>
      </w:r>
      <w:proofErr w:type="gramEnd"/>
      <w:r w:rsidRPr="00084285">
        <w:rPr>
          <w:rFonts w:ascii="Fraunces 72pt SemiBold" w:hAnsi="Fraunces 72pt SemiBold"/>
        </w:rPr>
        <w:t xml:space="preserve"> work; a licensed agent acts on it. This is accurate and commercially differentiating.</w:t>
      </w:r>
    </w:p>
    <w:p w14:paraId="0C5B7704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07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B/03 — KSA Transfer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209963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2E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18E86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7BC0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>Current positioning is clean. "Transfer pricing the auditor will accept" correctly frames the deliverable as documentation. No implied filing or ZATCA representation.</w:t>
            </w:r>
          </w:p>
        </w:tc>
      </w:tr>
    </w:tbl>
    <w:p w14:paraId="377C652B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3A41F258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0EFAFE00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Service card sub-description for B/03 — add one line to the existing description.</w:t>
      </w:r>
    </w:p>
    <w:p w14:paraId="4DEF0C48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Add — one line</w:t>
      </w:r>
    </w:p>
    <w:p w14:paraId="66B70E88" w14:textId="77777777" w:rsidR="00722E2A" w:rsidRPr="00084285" w:rsidRDefault="00000000">
      <w:pPr>
        <w:pBdr>
          <w:left w:val="single" w:sz="12" w:space="8" w:color="A8341F"/>
        </w:pBdr>
        <w:spacing w:before="60" w:after="60" w:line="276" w:lineRule="auto"/>
        <w:ind w:left="560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i/>
          <w:iCs/>
          <w:color w:val="78726A"/>
          <w:sz w:val="19"/>
          <w:szCs w:val="19"/>
        </w:rPr>
        <w:t xml:space="preserve">Documentation only — CTDF, Local File, and Master File support. ZATCA representation and APA negotiation are outside scope and will be referred </w:t>
      </w:r>
      <w:proofErr w:type="gramStart"/>
      <w:r w:rsidRPr="00084285">
        <w:rPr>
          <w:rFonts w:ascii="Fraunces 72pt SemiBold" w:hAnsi="Fraunces 72pt SemiBold"/>
          <w:i/>
          <w:iCs/>
          <w:color w:val="78726A"/>
          <w:sz w:val="19"/>
          <w:szCs w:val="19"/>
        </w:rPr>
        <w:t>to</w:t>
      </w:r>
      <w:proofErr w:type="gramEnd"/>
      <w:r w:rsidRPr="00084285">
        <w:rPr>
          <w:rFonts w:ascii="Fraunces 72pt SemiBold" w:hAnsi="Fraunces 72pt SemiBold"/>
          <w:i/>
          <w:iCs/>
          <w:color w:val="78726A"/>
          <w:sz w:val="19"/>
          <w:szCs w:val="19"/>
        </w:rPr>
        <w:t xml:space="preserve"> a specialist firm.</w:t>
      </w:r>
    </w:p>
    <w:p w14:paraId="17B55239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08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C/03 — Quality of Earnings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09FE1C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A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00DE1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13AEB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 xml:space="preserve">"Deal numbers your investor will trust" </w:t>
            </w:r>
            <w:proofErr w:type="gramStart"/>
            <w:r w:rsidRPr="00084285">
              <w:rPr>
                <w:rFonts w:ascii="Fraunces 72pt SemiBold" w:hAnsi="Fraunces 72pt SemiBold"/>
                <w:sz w:val="19"/>
                <w:szCs w:val="19"/>
              </w:rPr>
              <w:t>is</w:t>
            </w:r>
            <w:proofErr w:type="gramEnd"/>
            <w:r w:rsidRPr="00084285">
              <w:rPr>
                <w:rFonts w:ascii="Fraunces 72pt SemiBold" w:hAnsi="Fraunces 72pt SemiBold"/>
                <w:sz w:val="19"/>
                <w:szCs w:val="19"/>
              </w:rPr>
              <w:t xml:space="preserve"> commercially strong but carries three misread risks: (1) a fairness opinion — regulated in some jurisdictions; (2) a valuation — regulated or quasi-regulated; (3) an investment recommendation. None of these is what QoE delivers. QoE is an analytical advisory review of earnings quality for an informed decision-maker.</w:t>
            </w:r>
          </w:p>
        </w:tc>
      </w:tr>
    </w:tbl>
    <w:p w14:paraId="7496EBED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5CE5D61C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7853E97A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Service card headline and sub-description for C/03.</w:t>
      </w:r>
    </w:p>
    <w:p w14:paraId="4630F072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Headline — no change required</w:t>
      </w:r>
    </w:p>
    <w:p w14:paraId="5E851A75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"Deal numbers your investor will trust</w:t>
      </w:r>
      <w:proofErr w:type="gramStart"/>
      <w:r w:rsidRPr="00084285">
        <w:rPr>
          <w:rFonts w:ascii="Fraunces 72pt SemiBold" w:hAnsi="Fraunces 72pt SemiBold"/>
        </w:rPr>
        <w:t>." —</w:t>
      </w:r>
      <w:proofErr w:type="gramEnd"/>
      <w:r w:rsidRPr="00084285">
        <w:rPr>
          <w:rFonts w:ascii="Fraunces 72pt SemiBold" w:hAnsi="Fraunces 72pt SemiBold"/>
        </w:rPr>
        <w:t xml:space="preserve"> keep it. It is accurate, specific, and commercially effective. The compliance work happens in the sub-description.</w:t>
      </w:r>
    </w:p>
    <w:p w14:paraId="3354DA90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lastRenderedPageBreak/>
        <w:t>Sub-description — Before / After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E2A" w:rsidRPr="00084285" w14:paraId="530022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9AE8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Current wording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92E5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Replacement copy</w:t>
            </w:r>
          </w:p>
        </w:tc>
      </w:tr>
      <w:tr w:rsidR="00722E2A" w:rsidRPr="00084285" w14:paraId="751591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E62B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I produce the quality of earnings analysis that investors and acquirers rely on to make informed decisions.</w:t>
            </w:r>
          </w:p>
        </w:tc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DBB5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Analytical review of earnings quality, </w:t>
            </w:r>
            <w:proofErr w:type="spellStart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normalisation</w:t>
            </w:r>
            <w:proofErr w:type="spellEnd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 adjustments, and working capital trends — prepared for informed transaction decision-making. Not a valuation, fairness opinion, or audit. The buyer or seller uses the findings; Daftar does not advise on whether to proceed.</w:t>
            </w:r>
          </w:p>
        </w:tc>
      </w:tr>
    </w:tbl>
    <w:p w14:paraId="5781D13E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Notes</w:t>
      </w:r>
    </w:p>
    <w:p w14:paraId="2A451110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 xml:space="preserve">The three-way </w:t>
      </w:r>
      <w:proofErr w:type="gramStart"/>
      <w:r w:rsidRPr="00084285">
        <w:rPr>
          <w:rFonts w:ascii="Fraunces 72pt SemiBold" w:hAnsi="Fraunces 72pt SemiBold"/>
        </w:rPr>
        <w:t>exclusion — "</w:t>
      </w:r>
      <w:proofErr w:type="gramEnd"/>
      <w:r w:rsidRPr="00084285">
        <w:rPr>
          <w:rFonts w:ascii="Fraunces 72pt SemiBold" w:hAnsi="Fraunces 72pt SemiBold"/>
        </w:rPr>
        <w:t xml:space="preserve">not a valuation, fairness opinion, or </w:t>
      </w:r>
      <w:proofErr w:type="gramStart"/>
      <w:r w:rsidRPr="00084285">
        <w:rPr>
          <w:rFonts w:ascii="Fraunces 72pt SemiBold" w:hAnsi="Fraunces 72pt SemiBold"/>
        </w:rPr>
        <w:t>audit" —</w:t>
      </w:r>
      <w:proofErr w:type="gramEnd"/>
      <w:r w:rsidRPr="00084285">
        <w:rPr>
          <w:rFonts w:ascii="Fraunces 72pt SemiBold" w:hAnsi="Fraunces 72pt SemiBold"/>
        </w:rPr>
        <w:t xml:space="preserve"> should appear in the service description on the website and in the capability statement. The final sentence ("Daftar does not advise on whether to proceed") removes any residual investment-recommendation read.</w:t>
      </w:r>
    </w:p>
    <w:p w14:paraId="36AC6EFA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09  /</w:t>
      </w:r>
      <w:proofErr w:type="gramEnd"/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 xml:space="preserve">  C/02 — Nomu Readiness Diagnostic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722E2A" w:rsidRPr="00084285" w14:paraId="645089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A3055" w14:textId="77777777" w:rsidR="00722E2A" w:rsidRPr="00084285" w:rsidRDefault="00000000">
            <w:pPr>
              <w:spacing w:line="276" w:lineRule="auto"/>
              <w:jc w:val="center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CF99B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sz w:val="19"/>
                <w:szCs w:val="19"/>
              </w:rPr>
              <w:t xml:space="preserve">The CMA regulates the </w:t>
            </w:r>
            <w:proofErr w:type="spellStart"/>
            <w:r w:rsidRPr="00084285">
              <w:rPr>
                <w:rFonts w:ascii="Fraunces 72pt SemiBold" w:hAnsi="Fraunces 72pt SemiBold"/>
                <w:sz w:val="19"/>
                <w:szCs w:val="19"/>
              </w:rPr>
              <w:t>Nomu</w:t>
            </w:r>
            <w:proofErr w:type="spellEnd"/>
            <w:r w:rsidRPr="00084285">
              <w:rPr>
                <w:rFonts w:ascii="Fraunces 72pt SemiBold" w:hAnsi="Fraunces 72pt SemiBold"/>
                <w:sz w:val="19"/>
                <w:szCs w:val="19"/>
              </w:rPr>
              <w:t xml:space="preserve"> process tightly — financial adviser, reporting accountant, and legal adviser are licensed roles. A client reading "</w:t>
            </w:r>
            <w:proofErr w:type="spellStart"/>
            <w:r w:rsidRPr="00084285">
              <w:rPr>
                <w:rFonts w:ascii="Fraunces 72pt SemiBold" w:hAnsi="Fraunces 72pt SemiBold"/>
                <w:sz w:val="19"/>
                <w:szCs w:val="19"/>
              </w:rPr>
              <w:t>Nomu</w:t>
            </w:r>
            <w:proofErr w:type="spellEnd"/>
            <w:r w:rsidRPr="00084285">
              <w:rPr>
                <w:rFonts w:ascii="Fraunces 72pt SemiBold" w:hAnsi="Fraunces 72pt SemiBold"/>
                <w:sz w:val="19"/>
                <w:szCs w:val="19"/>
              </w:rPr>
              <w:t xml:space="preserve"> readiness" without a qualifier may assume Daftar can advise on the listing itself or act in one of these regulated capacities.</w:t>
            </w:r>
          </w:p>
        </w:tc>
      </w:tr>
    </w:tbl>
    <w:p w14:paraId="00AA487B" w14:textId="77777777" w:rsidR="00722E2A" w:rsidRPr="00084285" w:rsidRDefault="00722E2A">
      <w:pPr>
        <w:spacing w:before="80" w:line="276" w:lineRule="auto"/>
        <w:rPr>
          <w:rFonts w:ascii="Fraunces 72pt SemiBold" w:hAnsi="Fraunces 72pt SemiBold"/>
        </w:rPr>
      </w:pPr>
    </w:p>
    <w:p w14:paraId="1FAB49B6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Location in HTML</w:t>
      </w:r>
    </w:p>
    <w:p w14:paraId="09379959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Service card sub-description for C/02.</w:t>
      </w:r>
    </w:p>
    <w:p w14:paraId="35029C39" w14:textId="77777777" w:rsidR="00722E2A" w:rsidRPr="00084285" w:rsidRDefault="00000000">
      <w:pPr>
        <w:spacing w:before="120" w:after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78726A"/>
          <w:sz w:val="17"/>
          <w:szCs w:val="17"/>
        </w:rPr>
        <w:t>Before / After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2E2A" w:rsidRPr="00084285" w14:paraId="52203E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1155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Current wording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CB2D" w14:textId="77777777" w:rsidR="00722E2A" w:rsidRPr="00084285" w:rsidRDefault="00000000">
            <w:pPr>
              <w:spacing w:line="276" w:lineRule="auto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b/>
                <w:bCs/>
                <w:color w:val="FFFFFF"/>
                <w:sz w:val="19"/>
                <w:szCs w:val="19"/>
              </w:rPr>
              <w:t>Replacement copy</w:t>
            </w:r>
          </w:p>
        </w:tc>
      </w:tr>
      <w:tr w:rsidR="00722E2A" w:rsidRPr="00084285" w14:paraId="1B01FD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A866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I prepare companies for the </w:t>
            </w:r>
            <w:proofErr w:type="spellStart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Nomu</w:t>
            </w:r>
            <w:proofErr w:type="spellEnd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 parallel market listing process.</w:t>
            </w:r>
          </w:p>
        </w:tc>
        <w:tc>
          <w:tcPr>
            <w:tcW w:w="4680" w:type="dxa"/>
            <w:tcBorders>
              <w:top w:val="single" w:sz="4" w:space="0" w:color="D9D6D0"/>
              <w:left w:val="none" w:sz="0" w:space="0" w:color="FFFFFF"/>
              <w:bottom w:val="single" w:sz="4" w:space="0" w:color="D9D6D0"/>
              <w:right w:val="none" w:sz="0" w:space="0" w:color="FFFFFF"/>
            </w:tcBorders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2F50" w14:textId="77777777" w:rsidR="00722E2A" w:rsidRPr="00084285" w:rsidRDefault="00000000">
            <w:pPr>
              <w:spacing w:line="276" w:lineRule="auto"/>
              <w:jc w:val="both"/>
              <w:rPr>
                <w:rFonts w:ascii="Fraunces 72pt SemiBold" w:hAnsi="Fraunces 72pt SemiBold"/>
              </w:rPr>
            </w:pPr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Diagnostic review of IFRS compliance, governance structure, and MIS readiness against CMA </w:t>
            </w:r>
            <w:proofErr w:type="spellStart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>Nomu</w:t>
            </w:r>
            <w:proofErr w:type="spellEnd"/>
            <w:r w:rsidRPr="00084285">
              <w:rPr>
                <w:rFonts w:ascii="Fraunces 72pt SemiBold" w:hAnsi="Fraunces 72pt SemiBold"/>
                <w:i/>
                <w:iCs/>
                <w:sz w:val="19"/>
                <w:szCs w:val="19"/>
              </w:rPr>
              <w:t xml:space="preserve"> requirements — gap report and remediation roadmap only. Daftar is not CMA-licensed and does not act as financial adviser, sponsor, or reporting accountant. Those roles are performed by a licensed financial adviser engaged separately.</w:t>
            </w:r>
          </w:p>
        </w:tc>
      </w:tr>
    </w:tbl>
    <w:p w14:paraId="365CB33A" w14:textId="77777777" w:rsidR="00722E2A" w:rsidRPr="00084285" w:rsidRDefault="00000000">
      <w:pPr>
        <w:pBdr>
          <w:bottom w:val="single" w:sz="6" w:space="4" w:color="A8341F"/>
        </w:pBdr>
        <w:spacing w:before="300" w:after="6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  <w:caps/>
          <w:color w:val="A8341F"/>
          <w:sz w:val="16"/>
          <w:szCs w:val="16"/>
        </w:rPr>
        <w:t>Implementation Checklist</w:t>
      </w:r>
    </w:p>
    <w:p w14:paraId="1D54760A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</w:rPr>
        <w:t>Work through in this order. Items 1 and 2 are blocking — complete before any further site promotion or outreach.</w:t>
      </w:r>
    </w:p>
    <w:p w14:paraId="4C41196D" w14:textId="77777777" w:rsidR="00722E2A" w:rsidRPr="00084285" w:rsidRDefault="00722E2A">
      <w:pPr>
        <w:spacing w:before="60" w:line="276" w:lineRule="auto"/>
        <w:rPr>
          <w:rFonts w:ascii="Fraunces 72pt SemiBold" w:hAnsi="Fraunces 72pt SemiBold"/>
        </w:rPr>
      </w:pPr>
    </w:p>
    <w:p w14:paraId="7879427C" w14:textId="77777777" w:rsidR="00722E2A" w:rsidRPr="00084285" w:rsidRDefault="00000000">
      <w:pPr>
        <w:spacing w:before="80" w:after="4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olor w:val="A8341F"/>
          <w:sz w:val="20"/>
          <w:szCs w:val="20"/>
        </w:rPr>
        <w:t>1  ·</w:t>
      </w:r>
      <w:proofErr w:type="gramEnd"/>
      <w:r w:rsidRPr="00084285">
        <w:rPr>
          <w:rFonts w:ascii="Fraunces 72pt SemiBold" w:hAnsi="Fraunces 72pt SemiBold"/>
          <w:b/>
          <w:bCs/>
          <w:color w:val="A8341F"/>
          <w:sz w:val="20"/>
          <w:szCs w:val="20"/>
        </w:rPr>
        <w:t xml:space="preserve">  Blocking — complete before further promotion</w:t>
      </w:r>
    </w:p>
    <w:p w14:paraId="5EF891B8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A/02 rename</w:t>
      </w:r>
      <w:r w:rsidRPr="00084285">
        <w:rPr>
          <w:rFonts w:ascii="Fraunces 72pt SemiBold" w:hAnsi="Fraunces 72pt SemiBold"/>
        </w:rPr>
        <w:t xml:space="preserve"> — Update every instance of "Independent Technical Review" on the live site to "Technical Accounting Review." Check: services page, navigation, services grid, any meta descriptions.</w:t>
      </w:r>
    </w:p>
    <w:p w14:paraId="00FB37A9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C/03 exclusion</w:t>
      </w:r>
      <w:r w:rsidRPr="00084285">
        <w:rPr>
          <w:rFonts w:ascii="Fraunces 72pt SemiBold" w:hAnsi="Fraunces 72pt SemiBold"/>
        </w:rPr>
        <w:t xml:space="preserve"> — Add the three-way exclusion ("not a valuation, fairness opinion, or audit") to the QoE sub-description.</w:t>
      </w:r>
    </w:p>
    <w:p w14:paraId="4092EC84" w14:textId="77777777" w:rsidR="00722E2A" w:rsidRPr="00084285" w:rsidRDefault="00000000">
      <w:pPr>
        <w:spacing w:before="80" w:after="4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olor w:val="2F3A45"/>
          <w:sz w:val="20"/>
          <w:szCs w:val="20"/>
        </w:rPr>
        <w:t>2  ·</w:t>
      </w:r>
      <w:proofErr w:type="gramEnd"/>
      <w:r w:rsidRPr="00084285">
        <w:rPr>
          <w:rFonts w:ascii="Fraunces 72pt SemiBold" w:hAnsi="Fraunces 72pt SemiBold"/>
          <w:b/>
          <w:bCs/>
          <w:color w:val="2F3A45"/>
          <w:sz w:val="20"/>
          <w:szCs w:val="20"/>
        </w:rPr>
        <w:t xml:space="preserve">  High priority — complete within 7 days</w:t>
      </w:r>
    </w:p>
    <w:p w14:paraId="5F885E8A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lastRenderedPageBreak/>
        <w:t>Site-wide footer</w:t>
      </w:r>
      <w:r w:rsidRPr="00084285">
        <w:rPr>
          <w:rFonts w:ascii="Fraunces 72pt SemiBold" w:hAnsi="Fraunces 72pt SemiBold"/>
        </w:rPr>
        <w:t xml:space="preserve"> — Add the non-attest notice to the persistent footer on every page.</w:t>
      </w:r>
    </w:p>
    <w:p w14:paraId="0D9FD098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A/01 qualifier</w:t>
      </w:r>
      <w:r w:rsidRPr="00084285">
        <w:rPr>
          <w:rFonts w:ascii="Fraunces 72pt SemiBold" w:hAnsi="Fraunces 72pt SemiBold"/>
        </w:rPr>
        <w:t xml:space="preserve"> — Add "preparation engagement, non-attest. No audit opinion issued" to the IFRS FS service description.</w:t>
      </w:r>
    </w:p>
    <w:p w14:paraId="4711FF61" w14:textId="77777777" w:rsidR="00722E2A" w:rsidRPr="00084285" w:rsidRDefault="00000000">
      <w:pPr>
        <w:spacing w:before="80" w:after="40" w:line="276" w:lineRule="auto"/>
        <w:rPr>
          <w:rFonts w:ascii="Fraunces 72pt SemiBold" w:hAnsi="Fraunces 72pt SemiBold"/>
        </w:rPr>
      </w:pPr>
      <w:proofErr w:type="gramStart"/>
      <w:r w:rsidRPr="00084285">
        <w:rPr>
          <w:rFonts w:ascii="Fraunces 72pt SemiBold" w:hAnsi="Fraunces 72pt SemiBold"/>
          <w:b/>
          <w:bCs/>
          <w:color w:val="2F3A45"/>
          <w:sz w:val="20"/>
          <w:szCs w:val="20"/>
        </w:rPr>
        <w:t>3  ·</w:t>
      </w:r>
      <w:proofErr w:type="gramEnd"/>
      <w:r w:rsidRPr="00084285">
        <w:rPr>
          <w:rFonts w:ascii="Fraunces 72pt SemiBold" w:hAnsi="Fraunces 72pt SemiBold"/>
          <w:b/>
          <w:bCs/>
          <w:color w:val="2F3A45"/>
          <w:sz w:val="20"/>
          <w:szCs w:val="20"/>
        </w:rPr>
        <w:t xml:space="preserve">  Standard — complete before Wave 24 outbound push</w:t>
      </w:r>
    </w:p>
    <w:p w14:paraId="187F13DE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A/03</w:t>
      </w:r>
      <w:r w:rsidRPr="00084285">
        <w:rPr>
          <w:rFonts w:ascii="Fraunces 72pt SemiBold" w:hAnsi="Fraunces 72pt SemiBold"/>
        </w:rPr>
        <w:t xml:space="preserve"> — Add advisory-only qualifier to the Audit Readiness sub-description.</w:t>
      </w:r>
    </w:p>
    <w:p w14:paraId="5E29E724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B/01</w:t>
      </w:r>
      <w:r w:rsidRPr="00084285">
        <w:rPr>
          <w:rFonts w:ascii="Fraunces 72pt SemiBold" w:hAnsi="Fraunces 72pt SemiBold"/>
        </w:rPr>
        <w:t xml:space="preserve"> — Add filing-responsibility sentence to ZATCA card.</w:t>
      </w:r>
    </w:p>
    <w:p w14:paraId="08953276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B/02</w:t>
      </w:r>
      <w:r w:rsidRPr="00084285">
        <w:rPr>
          <w:rFonts w:ascii="Fraunces 72pt SemiBold" w:hAnsi="Fraunces 72pt SemiBold"/>
        </w:rPr>
        <w:t xml:space="preserve"> — Add "prepared for your licensed FTA-registered tax agent to file and submit."</w:t>
      </w:r>
    </w:p>
    <w:p w14:paraId="5EBD9F4C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B/03</w:t>
      </w:r>
      <w:r w:rsidRPr="00084285">
        <w:rPr>
          <w:rFonts w:ascii="Fraunces 72pt SemiBold" w:hAnsi="Fraunces 72pt SemiBold"/>
        </w:rPr>
        <w:t xml:space="preserve"> — Add documentation-only line; out-of-scope referral confirmation.</w:t>
      </w:r>
    </w:p>
    <w:p w14:paraId="2B951CEC" w14:textId="77777777" w:rsidR="00722E2A" w:rsidRPr="00084285" w:rsidRDefault="00000000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C/02</w:t>
      </w:r>
      <w:r w:rsidRPr="00084285">
        <w:rPr>
          <w:rFonts w:ascii="Fraunces 72pt SemiBold" w:hAnsi="Fraunces 72pt SemiBold"/>
        </w:rPr>
        <w:t xml:space="preserve"> — Add CMA-licensing exclusion to </w:t>
      </w:r>
      <w:proofErr w:type="spellStart"/>
      <w:r w:rsidRPr="00084285">
        <w:rPr>
          <w:rFonts w:ascii="Fraunces 72pt SemiBold" w:hAnsi="Fraunces 72pt SemiBold"/>
        </w:rPr>
        <w:t>Nomu</w:t>
      </w:r>
      <w:proofErr w:type="spellEnd"/>
      <w:r w:rsidRPr="00084285">
        <w:rPr>
          <w:rFonts w:ascii="Fraunces 72pt SemiBold" w:hAnsi="Fraunces 72pt SemiBold"/>
        </w:rPr>
        <w:t xml:space="preserve"> sub-description.</w:t>
      </w:r>
    </w:p>
    <w:p w14:paraId="12835C4F" w14:textId="77777777" w:rsidR="00722E2A" w:rsidRPr="00084285" w:rsidRDefault="00722E2A">
      <w:pPr>
        <w:pBdr>
          <w:top w:val="single" w:sz="6" w:space="4" w:color="A8341F"/>
        </w:pBdr>
        <w:spacing w:before="160" w:line="276" w:lineRule="auto"/>
        <w:rPr>
          <w:rFonts w:ascii="Fraunces 72pt SemiBold" w:hAnsi="Fraunces 72pt SemiBold"/>
        </w:rPr>
      </w:pPr>
    </w:p>
    <w:p w14:paraId="5478FC9E" w14:textId="77777777" w:rsidR="00722E2A" w:rsidRPr="00084285" w:rsidRDefault="00000000">
      <w:pPr>
        <w:spacing w:before="80" w:after="80" w:line="276" w:lineRule="auto"/>
        <w:jc w:val="both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 xml:space="preserve">None of these changes weaken the positioning. </w:t>
      </w:r>
      <w:r w:rsidRPr="00084285">
        <w:rPr>
          <w:rFonts w:ascii="Fraunces 72pt SemiBold" w:hAnsi="Fraunces 72pt SemiBold"/>
          <w:i/>
          <w:iCs/>
          <w:color w:val="78726A"/>
        </w:rPr>
        <w:t>They do the opposite — a practitioner who draws the boundary precisely signals that they know exactly where it sits. That is the Daftar brand.</w:t>
      </w:r>
    </w:p>
    <w:p w14:paraId="408022E6" w14:textId="77777777" w:rsidR="00722E2A" w:rsidRPr="00084285" w:rsidRDefault="00000000">
      <w:pPr>
        <w:spacing w:before="40" w:line="276" w:lineRule="auto"/>
        <w:rPr>
          <w:rFonts w:ascii="Fraunces 72pt SemiBold" w:hAnsi="Fraunces 72pt SemiBold"/>
        </w:rPr>
      </w:pPr>
      <w:r w:rsidRPr="00084285">
        <w:rPr>
          <w:rFonts w:ascii="Fraunces 72pt SemiBold" w:hAnsi="Fraunces 72pt SemiBold"/>
          <w:b/>
          <w:bCs/>
        </w:rPr>
        <w:t>Daftar</w:t>
      </w:r>
      <w:r w:rsidRPr="00084285">
        <w:rPr>
          <w:rFonts w:ascii="Fraunces 72pt SemiBold" w:hAnsi="Fraunces 72pt SemiBold"/>
          <w:i/>
          <w:iCs/>
          <w:color w:val="A8341F"/>
        </w:rPr>
        <w:t xml:space="preserve"> Advisory.</w:t>
      </w:r>
      <w:r w:rsidRPr="00084285">
        <w:rPr>
          <w:rFonts w:ascii="Fraunces 72pt SemiBold" w:hAnsi="Fraunces 72pt SemiBold"/>
          <w:color w:val="78726A"/>
          <w:sz w:val="17"/>
          <w:szCs w:val="17"/>
        </w:rPr>
        <w:t xml:space="preserve">  </w:t>
      </w:r>
      <w:proofErr w:type="gramStart"/>
      <w:r w:rsidRPr="00084285">
        <w:rPr>
          <w:rFonts w:ascii="Fraunces 72pt SemiBold" w:hAnsi="Fraunces 72pt SemiBold"/>
          <w:color w:val="78726A"/>
          <w:sz w:val="17"/>
          <w:szCs w:val="17"/>
        </w:rPr>
        <w:t>·  Internal</w:t>
      </w:r>
      <w:proofErr w:type="gramEnd"/>
      <w:r w:rsidRPr="00084285">
        <w:rPr>
          <w:rFonts w:ascii="Fraunces 72pt SemiBold" w:hAnsi="Fraunces 72pt SemiBold"/>
          <w:color w:val="78726A"/>
          <w:sz w:val="17"/>
          <w:szCs w:val="17"/>
        </w:rPr>
        <w:t xml:space="preserve">  </w:t>
      </w:r>
      <w:proofErr w:type="gramStart"/>
      <w:r w:rsidRPr="00084285">
        <w:rPr>
          <w:rFonts w:ascii="Fraunces 72pt SemiBold" w:hAnsi="Fraunces 72pt SemiBold"/>
          <w:color w:val="78726A"/>
          <w:sz w:val="17"/>
          <w:szCs w:val="17"/>
        </w:rPr>
        <w:t>·  Ahmad</w:t>
      </w:r>
      <w:proofErr w:type="gramEnd"/>
      <w:r w:rsidRPr="00084285">
        <w:rPr>
          <w:rFonts w:ascii="Fraunces 72pt SemiBold" w:hAnsi="Fraunces 72pt SemiBold"/>
          <w:color w:val="78726A"/>
          <w:sz w:val="17"/>
          <w:szCs w:val="17"/>
        </w:rPr>
        <w:t xml:space="preserve"> Al </w:t>
      </w:r>
      <w:proofErr w:type="gramStart"/>
      <w:r w:rsidRPr="00084285">
        <w:rPr>
          <w:rFonts w:ascii="Fraunces 72pt SemiBold" w:hAnsi="Fraunces 72pt SemiBold"/>
          <w:color w:val="78726A"/>
          <w:sz w:val="17"/>
          <w:szCs w:val="17"/>
        </w:rPr>
        <w:t>Hinaiti  ·</w:t>
      </w:r>
      <w:proofErr w:type="gramEnd"/>
      <w:r w:rsidRPr="00084285">
        <w:rPr>
          <w:rFonts w:ascii="Fraunces 72pt SemiBold" w:hAnsi="Fraunces 72pt SemiBold"/>
          <w:color w:val="78726A"/>
          <w:sz w:val="17"/>
          <w:szCs w:val="17"/>
        </w:rPr>
        <w:t xml:space="preserve">  Amman, </w:t>
      </w:r>
      <w:proofErr w:type="gramStart"/>
      <w:r w:rsidRPr="00084285">
        <w:rPr>
          <w:rFonts w:ascii="Fraunces 72pt SemiBold" w:hAnsi="Fraunces 72pt SemiBold"/>
          <w:color w:val="78726A"/>
          <w:sz w:val="17"/>
          <w:szCs w:val="17"/>
        </w:rPr>
        <w:t>Jordan  ·</w:t>
      </w:r>
      <w:proofErr w:type="gramEnd"/>
      <w:r w:rsidRPr="00084285">
        <w:rPr>
          <w:rFonts w:ascii="Fraunces 72pt SemiBold" w:hAnsi="Fraunces 72pt SemiBold"/>
          <w:color w:val="78726A"/>
          <w:sz w:val="17"/>
          <w:szCs w:val="17"/>
        </w:rPr>
        <w:t xml:space="preserve">  2026</w:t>
      </w:r>
    </w:p>
    <w:sectPr w:rsidR="00722E2A" w:rsidRPr="00084285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4855" w14:textId="77777777" w:rsidR="008C393D" w:rsidRDefault="008C393D">
      <w:r>
        <w:separator/>
      </w:r>
    </w:p>
  </w:endnote>
  <w:endnote w:type="continuationSeparator" w:id="0">
    <w:p w14:paraId="44E5601D" w14:textId="77777777" w:rsidR="008C393D" w:rsidRDefault="008C3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unces 72pt SemiBold">
    <w:panose1 w:val="00000000000000000000"/>
    <w:charset w:val="00"/>
    <w:family w:val="auto"/>
    <w:pitch w:val="variable"/>
    <w:sig w:usb0="A000007F" w:usb1="5000004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DFA4" w14:textId="77777777" w:rsidR="00722E2A" w:rsidRDefault="00000000">
    <w:pPr>
      <w:spacing w:before="40" w:line="276" w:lineRule="auto"/>
      <w:jc w:val="center"/>
    </w:pPr>
    <w:proofErr w:type="gramStart"/>
    <w:r>
      <w:rPr>
        <w:color w:val="78726A"/>
        <w:sz w:val="16"/>
        <w:szCs w:val="16"/>
      </w:rPr>
      <w:t>Internal  ·</w:t>
    </w:r>
    <w:proofErr w:type="gramEnd"/>
    <w:r>
      <w:rPr>
        <w:color w:val="78726A"/>
        <w:sz w:val="16"/>
        <w:szCs w:val="16"/>
      </w:rPr>
      <w:t xml:space="preserve">  Not for external </w:t>
    </w:r>
    <w:proofErr w:type="gramStart"/>
    <w:r>
      <w:rPr>
        <w:color w:val="78726A"/>
        <w:sz w:val="16"/>
        <w:szCs w:val="16"/>
      </w:rPr>
      <w:t>distribution  ·</w:t>
    </w:r>
    <w:proofErr w:type="gramEnd"/>
    <w:r>
      <w:rPr>
        <w:color w:val="78726A"/>
        <w:sz w:val="16"/>
        <w:szCs w:val="16"/>
      </w:rPr>
      <w:t xml:space="preserve">  Ahmad Al </w:t>
    </w:r>
    <w:proofErr w:type="gramStart"/>
    <w:r>
      <w:rPr>
        <w:color w:val="78726A"/>
        <w:sz w:val="16"/>
        <w:szCs w:val="16"/>
      </w:rPr>
      <w:t>Hinaiti  ·</w:t>
    </w:r>
    <w:proofErr w:type="gramEnd"/>
    <w:r>
      <w:rPr>
        <w:color w:val="78726A"/>
        <w:sz w:val="16"/>
        <w:szCs w:val="16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27DD" w14:textId="77777777" w:rsidR="008C393D" w:rsidRDefault="008C393D">
      <w:r>
        <w:separator/>
      </w:r>
    </w:p>
  </w:footnote>
  <w:footnote w:type="continuationSeparator" w:id="0">
    <w:p w14:paraId="3ECFD4C2" w14:textId="77777777" w:rsidR="008C393D" w:rsidRDefault="008C3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9782" w14:textId="77777777" w:rsidR="00722E2A" w:rsidRDefault="00000000">
    <w:pPr>
      <w:spacing w:after="40" w:line="276" w:lineRule="auto"/>
    </w:pPr>
    <w:r>
      <w:rPr>
        <w:color w:val="78726A"/>
        <w:sz w:val="16"/>
        <w:szCs w:val="16"/>
      </w:rPr>
      <w:t xml:space="preserve">DAFTAR </w:t>
    </w:r>
    <w:proofErr w:type="gramStart"/>
    <w:r>
      <w:rPr>
        <w:color w:val="78726A"/>
        <w:sz w:val="16"/>
        <w:szCs w:val="16"/>
      </w:rPr>
      <w:t>ADVISORY  ·</w:t>
    </w:r>
    <w:proofErr w:type="gramEnd"/>
    <w:r>
      <w:rPr>
        <w:color w:val="78726A"/>
        <w:sz w:val="16"/>
        <w:szCs w:val="16"/>
      </w:rPr>
      <w:t xml:space="preserve">  </w:t>
    </w:r>
    <w:r>
      <w:rPr>
        <w:b/>
        <w:bCs/>
        <w:color w:val="A8341F"/>
        <w:sz w:val="16"/>
        <w:szCs w:val="16"/>
      </w:rPr>
      <w:t>WEBSITE COMPLIANCE COPY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52EC"/>
    <w:multiLevelType w:val="hybridMultilevel"/>
    <w:tmpl w:val="D282778A"/>
    <w:lvl w:ilvl="0" w:tplc="72FCBA46">
      <w:start w:val="1"/>
      <w:numFmt w:val="bullet"/>
      <w:lvlText w:val="·"/>
      <w:lvlJc w:val="left"/>
      <w:pPr>
        <w:ind w:left="560" w:hanging="280"/>
      </w:pPr>
      <w:rPr>
        <w:rFonts w:ascii="Arial" w:eastAsia="Arial" w:hAnsi="Arial" w:cs="Arial"/>
        <w:color w:val="A8341F"/>
        <w:sz w:val="21"/>
        <w:szCs w:val="21"/>
      </w:rPr>
    </w:lvl>
    <w:lvl w:ilvl="1" w:tplc="C1C09DC0">
      <w:numFmt w:val="decimal"/>
      <w:lvlText w:val=""/>
      <w:lvlJc w:val="left"/>
    </w:lvl>
    <w:lvl w:ilvl="2" w:tplc="38744076">
      <w:numFmt w:val="decimal"/>
      <w:lvlText w:val=""/>
      <w:lvlJc w:val="left"/>
    </w:lvl>
    <w:lvl w:ilvl="3" w:tplc="5D4A6886">
      <w:numFmt w:val="decimal"/>
      <w:lvlText w:val=""/>
      <w:lvlJc w:val="left"/>
    </w:lvl>
    <w:lvl w:ilvl="4" w:tplc="5A305BF8">
      <w:numFmt w:val="decimal"/>
      <w:lvlText w:val=""/>
      <w:lvlJc w:val="left"/>
    </w:lvl>
    <w:lvl w:ilvl="5" w:tplc="C720AC5C">
      <w:numFmt w:val="decimal"/>
      <w:lvlText w:val=""/>
      <w:lvlJc w:val="left"/>
    </w:lvl>
    <w:lvl w:ilvl="6" w:tplc="B5C49AE2">
      <w:numFmt w:val="decimal"/>
      <w:lvlText w:val=""/>
      <w:lvlJc w:val="left"/>
    </w:lvl>
    <w:lvl w:ilvl="7" w:tplc="4B403474">
      <w:numFmt w:val="decimal"/>
      <w:lvlText w:val=""/>
      <w:lvlJc w:val="left"/>
    </w:lvl>
    <w:lvl w:ilvl="8" w:tplc="8E9679B2">
      <w:numFmt w:val="decimal"/>
      <w:lvlText w:val=""/>
      <w:lvlJc w:val="left"/>
    </w:lvl>
  </w:abstractNum>
  <w:abstractNum w:abstractNumId="1" w15:restartNumberingAfterBreak="0">
    <w:nsid w:val="559E57C9"/>
    <w:multiLevelType w:val="hybridMultilevel"/>
    <w:tmpl w:val="4A482832"/>
    <w:lvl w:ilvl="0" w:tplc="68E6C710">
      <w:start w:val="1"/>
      <w:numFmt w:val="bullet"/>
      <w:lvlText w:val="●"/>
      <w:lvlJc w:val="left"/>
      <w:pPr>
        <w:ind w:left="720" w:hanging="360"/>
      </w:pPr>
    </w:lvl>
    <w:lvl w:ilvl="1" w:tplc="3BE64DF0">
      <w:start w:val="1"/>
      <w:numFmt w:val="bullet"/>
      <w:lvlText w:val="○"/>
      <w:lvlJc w:val="left"/>
      <w:pPr>
        <w:ind w:left="1440" w:hanging="360"/>
      </w:pPr>
    </w:lvl>
    <w:lvl w:ilvl="2" w:tplc="3E6AF444">
      <w:start w:val="1"/>
      <w:numFmt w:val="bullet"/>
      <w:lvlText w:val="■"/>
      <w:lvlJc w:val="left"/>
      <w:pPr>
        <w:ind w:left="2160" w:hanging="360"/>
      </w:pPr>
    </w:lvl>
    <w:lvl w:ilvl="3" w:tplc="82A80E9A">
      <w:start w:val="1"/>
      <w:numFmt w:val="bullet"/>
      <w:lvlText w:val="●"/>
      <w:lvlJc w:val="left"/>
      <w:pPr>
        <w:ind w:left="2880" w:hanging="360"/>
      </w:pPr>
    </w:lvl>
    <w:lvl w:ilvl="4" w:tplc="6524A3CE">
      <w:start w:val="1"/>
      <w:numFmt w:val="bullet"/>
      <w:lvlText w:val="○"/>
      <w:lvlJc w:val="left"/>
      <w:pPr>
        <w:ind w:left="3600" w:hanging="360"/>
      </w:pPr>
    </w:lvl>
    <w:lvl w:ilvl="5" w:tplc="92567142">
      <w:start w:val="1"/>
      <w:numFmt w:val="bullet"/>
      <w:lvlText w:val="■"/>
      <w:lvlJc w:val="left"/>
      <w:pPr>
        <w:ind w:left="4320" w:hanging="360"/>
      </w:pPr>
    </w:lvl>
    <w:lvl w:ilvl="6" w:tplc="8A22E612">
      <w:start w:val="1"/>
      <w:numFmt w:val="bullet"/>
      <w:lvlText w:val="●"/>
      <w:lvlJc w:val="left"/>
      <w:pPr>
        <w:ind w:left="5040" w:hanging="360"/>
      </w:pPr>
    </w:lvl>
    <w:lvl w:ilvl="7" w:tplc="D27EA9C2">
      <w:start w:val="1"/>
      <w:numFmt w:val="bullet"/>
      <w:lvlText w:val="●"/>
      <w:lvlJc w:val="left"/>
      <w:pPr>
        <w:ind w:left="5760" w:hanging="360"/>
      </w:pPr>
    </w:lvl>
    <w:lvl w:ilvl="8" w:tplc="14AC6018">
      <w:start w:val="1"/>
      <w:numFmt w:val="bullet"/>
      <w:lvlText w:val="●"/>
      <w:lvlJc w:val="left"/>
      <w:pPr>
        <w:ind w:left="6480" w:hanging="360"/>
      </w:pPr>
    </w:lvl>
  </w:abstractNum>
  <w:num w:numId="1" w16cid:durableId="1469779455">
    <w:abstractNumId w:val="1"/>
    <w:lvlOverride w:ilvl="0">
      <w:startOverride w:val="1"/>
    </w:lvlOverride>
  </w:num>
  <w:num w:numId="2" w16cid:durableId="145753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E2A"/>
    <w:rsid w:val="00084285"/>
    <w:rsid w:val="00722E2A"/>
    <w:rsid w:val="008C393D"/>
    <w:rsid w:val="00B8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75E0"/>
  <w15:docId w15:val="{64C7B5F3-D517-4E72-9D51-9362286C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814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1650</Words>
  <Characters>9409</Characters>
  <Application>Microsoft Office Word</Application>
  <DocSecurity>0</DocSecurity>
  <Lines>78</Lines>
  <Paragraphs>22</Paragraphs>
  <ScaleCrop>false</ScaleCrop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Al-Hinaiti</cp:lastModifiedBy>
  <cp:revision>2</cp:revision>
  <dcterms:created xsi:type="dcterms:W3CDTF">2026-05-16T10:50:00Z</dcterms:created>
  <dcterms:modified xsi:type="dcterms:W3CDTF">2026-05-16T10:56:00Z</dcterms:modified>
</cp:coreProperties>
</file>