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0A610" w14:textId="77777777" w:rsidR="002C2B98" w:rsidRPr="002C2B98" w:rsidRDefault="002C2B98" w:rsidP="002C2B98">
      <w:pPr>
        <w:rPr>
          <w:b/>
          <w:bCs/>
        </w:rPr>
      </w:pPr>
      <w:r w:rsidRPr="002C2B98">
        <w:rPr>
          <w:b/>
          <w:bCs/>
        </w:rPr>
        <w:t>Saudi ZATCA Transfer Pricing Documentation as of 2026</w:t>
      </w:r>
    </w:p>
    <w:p w14:paraId="015FA290" w14:textId="77777777" w:rsidR="002C2B98" w:rsidRPr="002C2B98" w:rsidRDefault="002C2B98" w:rsidP="002C2B98">
      <w:r w:rsidRPr="002C2B98">
        <w:t>Saudi Arabia’s core transfer pricing obligations are still based on ZATCA’s Transfer Pricing Bylaws and official guidelines. The main recent change is not a change to the classic income-tax thresholds, but the broader extension of TP obligations to </w:t>
      </w:r>
      <w:r w:rsidRPr="002C2B98">
        <w:rPr>
          <w:b/>
          <w:bCs/>
        </w:rPr>
        <w:t>zakat payers</w:t>
      </w:r>
      <w:r w:rsidRPr="002C2B98">
        <w:t> from financial years starting in 2024, with phased Master File and Local File thresholds for pure zakat payers.</w:t>
      </w:r>
    </w:p>
    <w:p w14:paraId="4CEC0D42" w14:textId="77777777" w:rsidR="002C2B98" w:rsidRPr="002C2B98" w:rsidRDefault="002C2B98" w:rsidP="002C2B98">
      <w:pPr>
        <w:rPr>
          <w:b/>
          <w:bCs/>
        </w:rPr>
      </w:pPr>
      <w:r w:rsidRPr="002C2B98">
        <w:rPr>
          <w:b/>
          <w:bCs/>
        </w:rPr>
        <w:t>Summary table</w:t>
      </w:r>
    </w:p>
    <w:tbl>
      <w:tblPr>
        <w:tblW w:w="10761" w:type="dxa"/>
        <w:tblCellSpacing w:w="15" w:type="dxa"/>
        <w:tblInd w:w="-363"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78"/>
        <w:gridCol w:w="3277"/>
        <w:gridCol w:w="1829"/>
        <w:gridCol w:w="3877"/>
      </w:tblGrid>
      <w:tr w:rsidR="002C2B98" w:rsidRPr="002C2B98" w14:paraId="393BE7AC" w14:textId="77777777" w:rsidTr="002C2B98">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6C5777E" w14:textId="77777777" w:rsidR="002C2B98" w:rsidRPr="002C2B98" w:rsidRDefault="002C2B98" w:rsidP="002C2B98">
            <w:pPr>
              <w:rPr>
                <w:b/>
                <w:bCs/>
              </w:rPr>
            </w:pPr>
            <w:r w:rsidRPr="002C2B98">
              <w:rPr>
                <w:b/>
                <w:bCs/>
              </w:rPr>
              <w:t>Obligation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3085EBE6" w14:textId="77777777" w:rsidR="002C2B98" w:rsidRPr="002C2B98" w:rsidRDefault="002C2B98" w:rsidP="002C2B98">
            <w:pPr>
              <w:rPr>
                <w:b/>
                <w:bCs/>
              </w:rPr>
            </w:pPr>
            <w:r w:rsidRPr="002C2B98">
              <w:rPr>
                <w:b/>
                <w:bCs/>
              </w:rPr>
              <w:t>Trigger / threshold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1CB7A934" w14:textId="77777777" w:rsidR="002C2B98" w:rsidRPr="002C2B98" w:rsidRDefault="002C2B98" w:rsidP="002C2B98">
            <w:pPr>
              <w:rPr>
                <w:b/>
                <w:bCs/>
              </w:rPr>
            </w:pPr>
            <w:r w:rsidRPr="002C2B98">
              <w:rPr>
                <w:b/>
                <w:bCs/>
              </w:rPr>
              <w:t>Deadline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CE2F0C7" w14:textId="77777777" w:rsidR="002C2B98" w:rsidRPr="002C2B98" w:rsidRDefault="002C2B98" w:rsidP="002C2B98">
            <w:pPr>
              <w:rPr>
                <w:b/>
                <w:bCs/>
              </w:rPr>
            </w:pPr>
            <w:r w:rsidRPr="002C2B98">
              <w:rPr>
                <w:b/>
                <w:bCs/>
              </w:rPr>
              <w:t>Notes</w:t>
            </w:r>
          </w:p>
        </w:tc>
      </w:tr>
      <w:tr w:rsidR="002C2B98" w:rsidRPr="002C2B98" w14:paraId="1E0FF813" w14:textId="77777777" w:rsidTr="002C2B9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33821B" w14:textId="77777777" w:rsidR="002C2B98" w:rsidRPr="002C2B98" w:rsidRDefault="002C2B98" w:rsidP="002C2B98">
            <w:r w:rsidRPr="002C2B98">
              <w:t>Transfer Pricing Disclosure Form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1330BB" w14:textId="77777777" w:rsidR="002C2B98" w:rsidRPr="002C2B98" w:rsidRDefault="002C2B98" w:rsidP="002C2B98">
            <w:r w:rsidRPr="002C2B98">
              <w:t>Controlled transactions with related persons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41577E" w14:textId="77777777" w:rsidR="002C2B98" w:rsidRPr="002C2B98" w:rsidRDefault="002C2B98" w:rsidP="002C2B98">
            <w:r w:rsidRPr="002C2B98">
              <w:t>Within 120 days after fiscal year-end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C64348" w14:textId="77777777" w:rsidR="002C2B98" w:rsidRPr="002C2B98" w:rsidRDefault="002C2B98" w:rsidP="002C2B98">
            <w:r w:rsidRPr="002C2B98">
              <w:t>Filed with the annual declaration; Article 14 lists required related-party, transaction, ownership, restructuring, financial, and TP-method information.</w:t>
            </w:r>
          </w:p>
        </w:tc>
      </w:tr>
      <w:tr w:rsidR="002C2B98" w:rsidRPr="002C2B98" w14:paraId="3F3865BA" w14:textId="77777777" w:rsidTr="002C2B9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ACBF5A" w14:textId="77777777" w:rsidR="002C2B98" w:rsidRPr="002C2B98" w:rsidRDefault="002C2B98" w:rsidP="002C2B98">
            <w:r w:rsidRPr="002C2B98">
              <w:t>Affidavit / auditor certificate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35C05B" w14:textId="77777777" w:rsidR="002C2B98" w:rsidRPr="002C2B98" w:rsidRDefault="002C2B98" w:rsidP="002C2B98">
            <w:r w:rsidRPr="002C2B98">
              <w:t>Filed with Disclosure Form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2122AC" w14:textId="77777777" w:rsidR="002C2B98" w:rsidRPr="002C2B98" w:rsidRDefault="002C2B98" w:rsidP="002C2B98">
            <w:r w:rsidRPr="002C2B98">
              <w:t>Within 120 days after fiscal year-end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5E3C027D" w14:textId="77777777" w:rsidR="002C2B98" w:rsidRPr="002C2B98" w:rsidRDefault="002C2B98" w:rsidP="002C2B98">
            <w:r w:rsidRPr="002C2B98">
              <w:t>A licensed auditor certifies the MNE transfer pricing policy is consistently applied by and in relation to the Saudi taxpayer.</w:t>
            </w:r>
          </w:p>
        </w:tc>
      </w:tr>
      <w:tr w:rsidR="002C2B98" w:rsidRPr="002C2B98" w14:paraId="224D2514" w14:textId="77777777" w:rsidTr="002C2B9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A3751F" w14:textId="77777777" w:rsidR="002C2B98" w:rsidRPr="002C2B98" w:rsidRDefault="002C2B98" w:rsidP="002C2B98">
            <w:r w:rsidRPr="002C2B98">
              <w:t>Master File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6D11D53" w14:textId="77777777" w:rsidR="002C2B98" w:rsidRPr="002C2B98" w:rsidRDefault="002C2B98" w:rsidP="002C2B98">
            <w:r w:rsidRPr="002C2B98">
              <w:t>Generally required unless exempt; small-enterprise exemption where controlled transactions do not exceed SAR 6m in 12 months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5EC4C1" w14:textId="77777777" w:rsidR="002C2B98" w:rsidRPr="002C2B98" w:rsidRDefault="002C2B98" w:rsidP="002C2B98">
            <w:r w:rsidRPr="002C2B98">
              <w:t>Provided within at least 30 days of ZATCA request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31AF0485" w14:textId="77777777" w:rsidR="002C2B98" w:rsidRPr="002C2B98" w:rsidRDefault="002C2B98" w:rsidP="002C2B98">
            <w:r w:rsidRPr="002C2B98">
              <w:t xml:space="preserve">Natural persons and small enterprises are exempt from Articles 16 and 17 </w:t>
            </w:r>
            <w:proofErr w:type="gramStart"/>
            <w:r w:rsidRPr="002C2B98">
              <w:t>documentation</w:t>
            </w:r>
            <w:proofErr w:type="gramEnd"/>
            <w:r w:rsidRPr="002C2B98">
              <w:t>, but ZATCA may still request documentation in specified cases.</w:t>
            </w:r>
          </w:p>
        </w:tc>
      </w:tr>
      <w:tr w:rsidR="002C2B98" w:rsidRPr="002C2B98" w14:paraId="473186DA" w14:textId="77777777" w:rsidTr="002C2B9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494440A" w14:textId="77777777" w:rsidR="002C2B98" w:rsidRPr="002C2B98" w:rsidRDefault="002C2B98" w:rsidP="002C2B98">
            <w:r w:rsidRPr="002C2B98">
              <w:t>Local File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02E9F5" w14:textId="77777777" w:rsidR="002C2B98" w:rsidRPr="002C2B98" w:rsidRDefault="002C2B98" w:rsidP="002C2B98">
            <w:r w:rsidRPr="002C2B98">
              <w:t>Same exemption threshold as Master File: controlled transactions not exceeding SAR 6m in 12 months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5D629EE" w14:textId="77777777" w:rsidR="002C2B98" w:rsidRPr="002C2B98" w:rsidRDefault="002C2B98" w:rsidP="002C2B98">
            <w:r w:rsidRPr="002C2B98">
              <w:t>Provided within at least 30 days of ZATCA request</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141365B5" w14:textId="77777777" w:rsidR="002C2B98" w:rsidRPr="002C2B98" w:rsidRDefault="002C2B98" w:rsidP="002C2B98">
            <w:r w:rsidRPr="002C2B98">
              <w:t xml:space="preserve">Local File must include detailed </w:t>
            </w:r>
            <w:proofErr w:type="gramStart"/>
            <w:r w:rsidRPr="002C2B98">
              <w:t>transaction</w:t>
            </w:r>
            <w:proofErr w:type="gramEnd"/>
            <w:r w:rsidRPr="002C2B98">
              <w:t>, functional, comparability, method, benchmarking, industry, and financial analysis.</w:t>
            </w:r>
          </w:p>
        </w:tc>
      </w:tr>
      <w:tr w:rsidR="002C2B98" w:rsidRPr="002C2B98" w14:paraId="6463D959" w14:textId="77777777" w:rsidTr="002C2B9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0F3894" w14:textId="77777777" w:rsidR="002C2B98" w:rsidRPr="002C2B98" w:rsidRDefault="002C2B98" w:rsidP="002C2B98">
            <w:proofErr w:type="spellStart"/>
            <w:r w:rsidRPr="002C2B98">
              <w:lastRenderedPageBreak/>
              <w:t>CbCR</w:t>
            </w:r>
            <w:proofErr w:type="spellEnd"/>
            <w:r w:rsidRPr="002C2B98">
              <w:t xml:space="preserve"> notification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FA685F" w14:textId="77777777" w:rsidR="002C2B98" w:rsidRPr="002C2B98" w:rsidRDefault="002C2B98" w:rsidP="002C2B98">
            <w:r w:rsidRPr="002C2B98">
              <w:t>MNE consolidated group revenue exceeding SAR 3.2bn in prior year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82DFDA" w14:textId="77777777" w:rsidR="002C2B98" w:rsidRPr="002C2B98" w:rsidRDefault="002C2B98" w:rsidP="002C2B98">
            <w:r w:rsidRPr="002C2B98">
              <w:t>Within 120 days after reporting year-end</w:t>
            </w:r>
          </w:p>
        </w:tc>
        <w:tc>
          <w:tcPr>
            <w:tcW w:w="0" w:type="auto"/>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40D271C8" w14:textId="77777777" w:rsidR="002C2B98" w:rsidRPr="002C2B98" w:rsidRDefault="002C2B98" w:rsidP="002C2B98">
            <w:r w:rsidRPr="002C2B98">
              <w:t>The notification identifies the reporting entity, residence, and filing jurisdiction.</w:t>
            </w:r>
          </w:p>
        </w:tc>
      </w:tr>
      <w:tr w:rsidR="002C2B98" w:rsidRPr="002C2B98" w14:paraId="1C83B354" w14:textId="77777777" w:rsidTr="002C2B98">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5962769" w14:textId="77777777" w:rsidR="002C2B98" w:rsidRPr="002C2B98" w:rsidRDefault="002C2B98" w:rsidP="002C2B98">
            <w:proofErr w:type="spellStart"/>
            <w:r w:rsidRPr="002C2B98">
              <w:t>CbC</w:t>
            </w:r>
            <w:proofErr w:type="spellEnd"/>
            <w:r w:rsidRPr="002C2B98">
              <w:t xml:space="preserve"> Report</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4C72DF8E" w14:textId="77777777" w:rsidR="002C2B98" w:rsidRPr="002C2B98" w:rsidRDefault="002C2B98" w:rsidP="002C2B98">
            <w:r w:rsidRPr="002C2B98">
              <w:t>Saudi UPE/SPE, or Saudi constituent entity under secondary filing rules, where MNE group revenue exceeds SAR 3.2bn</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6DF72074" w14:textId="77777777" w:rsidR="002C2B98" w:rsidRPr="002C2B98" w:rsidRDefault="002C2B98" w:rsidP="002C2B98">
            <w:r w:rsidRPr="002C2B98">
              <w:t>Within 12 months after reporting year-end</w:t>
            </w:r>
          </w:p>
        </w:tc>
        <w:tc>
          <w:tcPr>
            <w:tcW w:w="0" w:type="auto"/>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3CA4E220" w14:textId="77777777" w:rsidR="002C2B98" w:rsidRPr="002C2B98" w:rsidRDefault="002C2B98" w:rsidP="002C2B98">
            <w:r w:rsidRPr="002C2B98">
              <w:t>Applies where the Saudi entity is required to file as UPE, SPE, or local constituent entity under Article 18.</w:t>
            </w:r>
          </w:p>
        </w:tc>
      </w:tr>
    </w:tbl>
    <w:p w14:paraId="03835EDB" w14:textId="77777777" w:rsidR="002C2B98" w:rsidRPr="002C2B98" w:rsidRDefault="002C2B98" w:rsidP="002C2B98">
      <w:pPr>
        <w:rPr>
          <w:b/>
          <w:bCs/>
        </w:rPr>
      </w:pPr>
      <w:r w:rsidRPr="002C2B98">
        <w:rPr>
          <w:b/>
          <w:bCs/>
        </w:rPr>
        <w:t>Master File and Local File</w:t>
      </w:r>
    </w:p>
    <w:p w14:paraId="61DABA05" w14:textId="77777777" w:rsidR="002C2B98" w:rsidRPr="002C2B98" w:rsidRDefault="002C2B98" w:rsidP="002C2B98">
      <w:r w:rsidRPr="002C2B98">
        <w:t>The official English bylaws define a </w:t>
      </w:r>
      <w:r w:rsidRPr="002C2B98">
        <w:rPr>
          <w:b/>
          <w:bCs/>
        </w:rPr>
        <w:t>Small Enterprise</w:t>
      </w:r>
      <w:r w:rsidRPr="002C2B98">
        <w:t> as a juridical person whose controlled transactions’ total arm’s-length value does not exceed </w:t>
      </w:r>
      <w:r w:rsidRPr="002C2B98">
        <w:rPr>
          <w:b/>
          <w:bCs/>
        </w:rPr>
        <w:t>SAR 6 million</w:t>
      </w:r>
      <w:r w:rsidRPr="002C2B98">
        <w:t xml:space="preserve"> in a 12-month period, and exempt natural persons and small enterprises from maintaining Master File and Local File documentation. Where required, the Master File covers the MNE group’s ownership, business, intangibles, financing, consolidated financials, APAs, and rulings, while the Local File covers the Saudi </w:t>
      </w:r>
      <w:proofErr w:type="gramStart"/>
      <w:r w:rsidRPr="002C2B98">
        <w:t>entity’s controlled</w:t>
      </w:r>
      <w:proofErr w:type="gramEnd"/>
      <w:r w:rsidRPr="002C2B98">
        <w:t xml:space="preserve"> transactions, intercompany agreements, functional analysis, transfer pricing method, comparables, adjustments, and financial tie-outs.</w:t>
      </w:r>
    </w:p>
    <w:p w14:paraId="1F1F3014" w14:textId="77777777" w:rsidR="002C2B98" w:rsidRPr="002C2B98" w:rsidRDefault="002C2B98" w:rsidP="002C2B98">
      <w:r w:rsidRPr="002C2B98">
        <w:t>ZATCA’s official guideline confirms that Master File and Local File are not filed automatically with the return; they must be maintained and provided on request, generally no later than </w:t>
      </w:r>
      <w:r w:rsidRPr="002C2B98">
        <w:rPr>
          <w:b/>
          <w:bCs/>
        </w:rPr>
        <w:t>30 calendar days</w:t>
      </w:r>
      <w:r w:rsidRPr="002C2B98">
        <w:t> after ZATCA’s request.</w:t>
      </w:r>
    </w:p>
    <w:p w14:paraId="0A843614" w14:textId="77777777" w:rsidR="002C2B98" w:rsidRPr="002C2B98" w:rsidRDefault="002C2B98" w:rsidP="002C2B98">
      <w:pPr>
        <w:rPr>
          <w:b/>
          <w:bCs/>
        </w:rPr>
      </w:pPr>
      <w:r w:rsidRPr="002C2B98">
        <w:rPr>
          <w:b/>
          <w:bCs/>
        </w:rPr>
        <w:t>Disclosure Form and affidavit</w:t>
      </w:r>
    </w:p>
    <w:p w14:paraId="0D1B4355" w14:textId="77777777" w:rsidR="002C2B98" w:rsidRPr="002C2B98" w:rsidRDefault="002C2B98" w:rsidP="002C2B98">
      <w:r w:rsidRPr="002C2B98">
        <w:t>Article 14 requires a disclosure form with the annual income tax declaration containing related-party identities, controlled transaction details, ownership, restructuring, total revenue, expenses, profit/loss, the TP method applied, and whether Master File and Local File documentation is maintained. The same article requires the form within </w:t>
      </w:r>
      <w:r w:rsidRPr="002C2B98">
        <w:rPr>
          <w:b/>
          <w:bCs/>
        </w:rPr>
        <w:t>120 days</w:t>
      </w:r>
      <w:r w:rsidRPr="002C2B98">
        <w:t> after fiscal year-end and requires an affidavit from a licensed auditor certifying that the MNE transfer pricing policy is consistently applied by and in relation to the taxpayer.</w:t>
      </w:r>
    </w:p>
    <w:p w14:paraId="69F2D1D8" w14:textId="77777777" w:rsidR="002C2B98" w:rsidRPr="002C2B98" w:rsidRDefault="002C2B98" w:rsidP="002C2B98">
      <w:r w:rsidRPr="002C2B98">
        <w:lastRenderedPageBreak/>
        <w:t xml:space="preserve">ZATCA’s guideline describes the TP forms as the Disclosure Form of Controlled Transactions plus the </w:t>
      </w:r>
      <w:proofErr w:type="spellStart"/>
      <w:r w:rsidRPr="002C2B98">
        <w:t>CbCR</w:t>
      </w:r>
      <w:proofErr w:type="spellEnd"/>
      <w:r w:rsidRPr="002C2B98">
        <w:t xml:space="preserve"> Notification, and says the form is part of the </w:t>
      </w:r>
      <w:proofErr w:type="gramStart"/>
      <w:r w:rsidRPr="002C2B98">
        <w:t>tax</w:t>
      </w:r>
      <w:proofErr w:type="gramEnd"/>
      <w:r w:rsidRPr="002C2B98">
        <w:t xml:space="preserve"> or zakat return package.</w:t>
      </w:r>
    </w:p>
    <w:p w14:paraId="23692DA0" w14:textId="77777777" w:rsidR="002C2B98" w:rsidRPr="002C2B98" w:rsidRDefault="002C2B98" w:rsidP="002C2B98">
      <w:pPr>
        <w:rPr>
          <w:b/>
          <w:bCs/>
        </w:rPr>
      </w:pPr>
      <w:proofErr w:type="spellStart"/>
      <w:r w:rsidRPr="002C2B98">
        <w:rPr>
          <w:b/>
          <w:bCs/>
        </w:rPr>
        <w:t>CbCR</w:t>
      </w:r>
      <w:proofErr w:type="spellEnd"/>
    </w:p>
    <w:p w14:paraId="15082B05" w14:textId="77777777" w:rsidR="002C2B98" w:rsidRPr="002C2B98" w:rsidRDefault="002C2B98" w:rsidP="002C2B98">
      <w:proofErr w:type="spellStart"/>
      <w:r w:rsidRPr="002C2B98">
        <w:t>CbCR</w:t>
      </w:r>
      <w:proofErr w:type="spellEnd"/>
      <w:r w:rsidRPr="002C2B98">
        <w:t xml:space="preserve"> applies where the MNE group’s consolidated group revenue exceeds </w:t>
      </w:r>
      <w:r w:rsidRPr="002C2B98">
        <w:rPr>
          <w:b/>
          <w:bCs/>
        </w:rPr>
        <w:t>SAR 3.2 billion</w:t>
      </w:r>
      <w:r w:rsidRPr="002C2B98">
        <w:t xml:space="preserve"> during the year immediately preceding the reporting year. The </w:t>
      </w:r>
      <w:proofErr w:type="spellStart"/>
      <w:r w:rsidRPr="002C2B98">
        <w:t>CbC</w:t>
      </w:r>
      <w:proofErr w:type="spellEnd"/>
      <w:r w:rsidRPr="002C2B98">
        <w:t xml:space="preserve"> Report is due within </w:t>
      </w:r>
      <w:r w:rsidRPr="002C2B98">
        <w:rPr>
          <w:b/>
          <w:bCs/>
        </w:rPr>
        <w:t xml:space="preserve">12 </w:t>
      </w:r>
      <w:proofErr w:type="gramStart"/>
      <w:r w:rsidRPr="002C2B98">
        <w:rPr>
          <w:b/>
          <w:bCs/>
        </w:rPr>
        <w:t>months</w:t>
      </w:r>
      <w:proofErr w:type="gramEnd"/>
      <w:r w:rsidRPr="002C2B98">
        <w:t xml:space="preserve"> after the last day of the MNE group’s reporting year, and the </w:t>
      </w:r>
      <w:proofErr w:type="spellStart"/>
      <w:r w:rsidRPr="002C2B98">
        <w:t>CbCR</w:t>
      </w:r>
      <w:proofErr w:type="spellEnd"/>
      <w:r w:rsidRPr="002C2B98">
        <w:t xml:space="preserve"> notification is due within </w:t>
      </w:r>
      <w:r w:rsidRPr="002C2B98">
        <w:rPr>
          <w:b/>
          <w:bCs/>
        </w:rPr>
        <w:t>120 days</w:t>
      </w:r>
      <w:r w:rsidRPr="002C2B98">
        <w:t> after the reporting year-end.</w:t>
      </w:r>
    </w:p>
    <w:p w14:paraId="756714C3" w14:textId="77777777" w:rsidR="002C2B98" w:rsidRPr="002C2B98" w:rsidRDefault="002C2B98" w:rsidP="002C2B98">
      <w:r w:rsidRPr="002C2B98">
        <w:t xml:space="preserve">Article 18 applies to Saudi taxable persons and, where relevant, Saudi persons subject to zakat, including secondary local filing if the parent jurisdiction lacks </w:t>
      </w:r>
      <w:proofErr w:type="spellStart"/>
      <w:r w:rsidRPr="002C2B98">
        <w:t>CbCR</w:t>
      </w:r>
      <w:proofErr w:type="spellEnd"/>
      <w:r w:rsidRPr="002C2B98">
        <w:t>, lacks an enforceable qualifying exchange agreement, or has systemic failure.</w:t>
      </w:r>
    </w:p>
    <w:p w14:paraId="0E9474A7" w14:textId="77777777" w:rsidR="002C2B98" w:rsidRPr="002C2B98" w:rsidRDefault="002C2B98" w:rsidP="002C2B98">
      <w:pPr>
        <w:rPr>
          <w:b/>
          <w:bCs/>
        </w:rPr>
      </w:pPr>
      <w:r w:rsidRPr="002C2B98">
        <w:rPr>
          <w:b/>
          <w:bCs/>
        </w:rPr>
        <w:t>Recent changes</w:t>
      </w:r>
    </w:p>
    <w:p w14:paraId="704BEF3A" w14:textId="77777777" w:rsidR="002C2B98" w:rsidRPr="002C2B98" w:rsidRDefault="002C2B98" w:rsidP="002C2B98">
      <w:r w:rsidRPr="002C2B98">
        <w:t xml:space="preserve">The official English ZATCA Bylaws and 2021 English guidelines still show the original income-tax framework and </w:t>
      </w:r>
      <w:proofErr w:type="spellStart"/>
      <w:r w:rsidRPr="002C2B98">
        <w:t>CbCR</w:t>
      </w:r>
      <w:proofErr w:type="spellEnd"/>
      <w:r w:rsidRPr="002C2B98">
        <w:t xml:space="preserve"> application to zakat persons under Article 18, while newer ZATCA guidance on zakat-payer expansion appears to be reflected in later Arabic-only materials. Based on the 2024 update described in the research brief, the practical change is that pure zakat payers are now brought into the broader TP compliance framework from FY2024, with phased Master File and Local File thresholds: mandatory above </w:t>
      </w:r>
      <w:r w:rsidRPr="002C2B98">
        <w:rPr>
          <w:b/>
          <w:bCs/>
        </w:rPr>
        <w:t>SAR 100 million</w:t>
      </w:r>
      <w:r w:rsidRPr="002C2B98">
        <w:t> controlled transactions for FY2024–FY2026, optional between </w:t>
      </w:r>
      <w:r w:rsidRPr="002C2B98">
        <w:rPr>
          <w:b/>
          <w:bCs/>
        </w:rPr>
        <w:t>SAR 48 million and SAR 100 million</w:t>
      </w:r>
      <w:r w:rsidRPr="002C2B98">
        <w:t>, and mandatory above </w:t>
      </w:r>
      <w:r w:rsidRPr="002C2B98">
        <w:rPr>
          <w:b/>
          <w:bCs/>
        </w:rPr>
        <w:t>SAR 48 million</w:t>
      </w:r>
      <w:r w:rsidRPr="002C2B98">
        <w:t> from FY2027.</w:t>
      </w:r>
    </w:p>
    <w:p w14:paraId="2C2565A1" w14:textId="77777777" w:rsidR="002C2B98" w:rsidRPr="002C2B98" w:rsidRDefault="002C2B98" w:rsidP="002C2B98">
      <w:r w:rsidRPr="002C2B98">
        <w:t>Because I could verify the classic </w:t>
      </w:r>
      <w:r w:rsidRPr="002C2B98">
        <w:rPr>
          <w:b/>
          <w:bCs/>
        </w:rPr>
        <w:t>SAR 6 million</w:t>
      </w:r>
      <w:r w:rsidRPr="002C2B98">
        <w:t> small-enterprise threshold and </w:t>
      </w:r>
      <w:r w:rsidRPr="002C2B98">
        <w:rPr>
          <w:b/>
          <w:bCs/>
        </w:rPr>
        <w:t>SAR 3.2 billion</w:t>
      </w:r>
      <w:r w:rsidRPr="002C2B98">
        <w:t> </w:t>
      </w:r>
      <w:proofErr w:type="spellStart"/>
      <w:r w:rsidRPr="002C2B98">
        <w:t>CbCR</w:t>
      </w:r>
      <w:proofErr w:type="spellEnd"/>
      <w:r w:rsidRPr="002C2B98">
        <w:t xml:space="preserve"> threshold directly in official English ZATCA sources, those should be treated as firm. The zakat-payer phased thresholds should be treated as current practice from newer ZATCA guidance, but if you are using this in a client-facing Saudi TP checklist, I would cite the latest Arabic ZATCA guideline or attach the Arabic extract.</w:t>
      </w:r>
    </w:p>
    <w:p w14:paraId="43FB5A49" w14:textId="77777777" w:rsidR="002E2109" w:rsidRDefault="002E2109"/>
    <w:sectPr w:rsidR="002E2109" w:rsidSect="002C2B98">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39A"/>
    <w:rsid w:val="00272686"/>
    <w:rsid w:val="002A01B7"/>
    <w:rsid w:val="002C2B98"/>
    <w:rsid w:val="002E2109"/>
    <w:rsid w:val="004E1290"/>
    <w:rsid w:val="00AA171E"/>
    <w:rsid w:val="00C3139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8D8874-E22C-4F12-AC52-6450B6514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13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13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13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1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1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13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13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13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13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3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13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1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1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1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1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1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1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139A"/>
    <w:rPr>
      <w:rFonts w:eastAsiaTheme="majorEastAsia" w:cstheme="majorBidi"/>
      <w:color w:val="272727" w:themeColor="text1" w:themeTint="D8"/>
    </w:rPr>
  </w:style>
  <w:style w:type="paragraph" w:styleId="Title">
    <w:name w:val="Title"/>
    <w:basedOn w:val="Normal"/>
    <w:next w:val="Normal"/>
    <w:link w:val="TitleChar"/>
    <w:uiPriority w:val="10"/>
    <w:qFormat/>
    <w:rsid w:val="00C313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1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1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139A"/>
    <w:pPr>
      <w:spacing w:before="160"/>
      <w:jc w:val="center"/>
    </w:pPr>
    <w:rPr>
      <w:i/>
      <w:iCs/>
      <w:color w:val="404040" w:themeColor="text1" w:themeTint="BF"/>
    </w:rPr>
  </w:style>
  <w:style w:type="character" w:customStyle="1" w:styleId="QuoteChar">
    <w:name w:val="Quote Char"/>
    <w:basedOn w:val="DefaultParagraphFont"/>
    <w:link w:val="Quote"/>
    <w:uiPriority w:val="29"/>
    <w:rsid w:val="00C3139A"/>
    <w:rPr>
      <w:i/>
      <w:iCs/>
      <w:color w:val="404040" w:themeColor="text1" w:themeTint="BF"/>
    </w:rPr>
  </w:style>
  <w:style w:type="paragraph" w:styleId="ListParagraph">
    <w:name w:val="List Paragraph"/>
    <w:basedOn w:val="Normal"/>
    <w:uiPriority w:val="34"/>
    <w:qFormat/>
    <w:rsid w:val="00C3139A"/>
    <w:pPr>
      <w:ind w:left="720"/>
      <w:contextualSpacing/>
    </w:pPr>
  </w:style>
  <w:style w:type="character" w:styleId="IntenseEmphasis">
    <w:name w:val="Intense Emphasis"/>
    <w:basedOn w:val="DefaultParagraphFont"/>
    <w:uiPriority w:val="21"/>
    <w:qFormat/>
    <w:rsid w:val="00C3139A"/>
    <w:rPr>
      <w:i/>
      <w:iCs/>
      <w:color w:val="0F4761" w:themeColor="accent1" w:themeShade="BF"/>
    </w:rPr>
  </w:style>
  <w:style w:type="paragraph" w:styleId="IntenseQuote">
    <w:name w:val="Intense Quote"/>
    <w:basedOn w:val="Normal"/>
    <w:next w:val="Normal"/>
    <w:link w:val="IntenseQuoteChar"/>
    <w:uiPriority w:val="30"/>
    <w:qFormat/>
    <w:rsid w:val="00C31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139A"/>
    <w:rPr>
      <w:i/>
      <w:iCs/>
      <w:color w:val="0F4761" w:themeColor="accent1" w:themeShade="BF"/>
    </w:rPr>
  </w:style>
  <w:style w:type="character" w:styleId="IntenseReference">
    <w:name w:val="Intense Reference"/>
    <w:basedOn w:val="DefaultParagraphFont"/>
    <w:uiPriority w:val="32"/>
    <w:qFormat/>
    <w:rsid w:val="00C313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Al-Hinaiti</dc:creator>
  <cp:keywords/>
  <dc:description/>
  <cp:lastModifiedBy>Ahmad Al-Hinaiti</cp:lastModifiedBy>
  <cp:revision>2</cp:revision>
  <dcterms:created xsi:type="dcterms:W3CDTF">2026-06-01T10:57:00Z</dcterms:created>
  <dcterms:modified xsi:type="dcterms:W3CDTF">2026-06-01T10:57:00Z</dcterms:modified>
</cp:coreProperties>
</file>