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4F1EA"/>
  <w:body>
    <w:p w14:paraId="726C53CA" w14:textId="77777777" w:rsidR="00EE7C17" w:rsidRDefault="00A06C6F">
      <w:pPr>
        <w:spacing w:after="40"/>
      </w:pPr>
      <w:r>
        <w:rPr>
          <w:rFonts w:ascii="Courier New" w:eastAsia="Courier New" w:hAnsi="Courier New" w:cs="Courier New"/>
          <w:color w:val="78726A"/>
          <w:spacing w:val="20"/>
          <w:sz w:val="17"/>
          <w:szCs w:val="17"/>
        </w:rPr>
        <w:t>D A F T A R   ·   A D V I S O R Y</w:t>
      </w:r>
    </w:p>
    <w:p w14:paraId="726C53CB" w14:textId="77777777" w:rsidR="00EE7C17" w:rsidRDefault="00EE7C17">
      <w:pPr>
        <w:pBdr>
          <w:bottom w:val="single" w:sz="6" w:space="2" w:color="A8341F"/>
        </w:pBdr>
        <w:spacing w:before="60" w:after="160"/>
      </w:pPr>
    </w:p>
    <w:p w14:paraId="726C53CC" w14:textId="77777777" w:rsidR="00EE7C17" w:rsidRDefault="00A06C6F">
      <w:pPr>
        <w:spacing w:before="80"/>
      </w:pPr>
      <w:r>
        <w:rPr>
          <w:sz w:val="52"/>
          <w:szCs w:val="52"/>
        </w:rPr>
        <w:t>Brand Handbook</w:t>
      </w:r>
    </w:p>
    <w:p w14:paraId="726C53CD" w14:textId="77777777" w:rsidR="00EE7C17" w:rsidRDefault="00A06C6F">
      <w:pPr>
        <w:spacing w:after="100"/>
      </w:pPr>
      <w:r>
        <w:rPr>
          <w:i/>
          <w:iCs/>
          <w:color w:val="A8341F"/>
          <w:sz w:val="52"/>
          <w:szCs w:val="52"/>
        </w:rPr>
        <w:t>V1.4</w:t>
      </w:r>
      <w:r>
        <w:rPr>
          <w:sz w:val="52"/>
          <w:szCs w:val="52"/>
        </w:rPr>
        <w:t xml:space="preserve"> — change package</w:t>
      </w:r>
    </w:p>
    <w:p w14:paraId="726C53CE" w14:textId="77777777" w:rsidR="00EE7C17" w:rsidRDefault="00A06C6F">
      <w:pPr>
        <w:spacing w:after="200" w:line="300" w:lineRule="auto"/>
      </w:pPr>
      <w:r>
        <w:rPr>
          <w:color w:val="78726A"/>
          <w:sz w:val="21"/>
          <w:szCs w:val="21"/>
        </w:rPr>
        <w:t>Four decisions taken 2 July 2026, reduced to drop-in blocks. Paste each into the master file and bump the version. Nothing about the voice, type, or colour system changes.</w:t>
      </w:r>
    </w:p>
    <w:p w14:paraId="726C53CF" w14:textId="77777777" w:rsidR="00EE7C17" w:rsidRDefault="00EE7C17">
      <w:pPr>
        <w:pBdr>
          <w:bottom w:val="single" w:sz="4" w:space="2" w:color="78726A"/>
        </w:pBdr>
        <w:spacing w:before="60" w:after="160"/>
      </w:pPr>
    </w:p>
    <w:p w14:paraId="726C53D0" w14:textId="77777777" w:rsidR="00EE7C17" w:rsidRDefault="00EE7C17">
      <w:pPr>
        <w:spacing w:after="60"/>
      </w:pPr>
    </w:p>
    <w:p w14:paraId="726C53D1" w14:textId="77777777" w:rsidR="00EE7C17" w:rsidRDefault="00A06C6F">
      <w:pPr>
        <w:spacing w:after="40"/>
      </w:pPr>
      <w:r>
        <w:rPr>
          <w:rFonts w:ascii="Courier New" w:eastAsia="Courier New" w:hAnsi="Courier New" w:cs="Courier New"/>
          <w:color w:val="A8341F"/>
          <w:spacing w:val="24"/>
          <w:sz w:val="17"/>
          <w:szCs w:val="17"/>
        </w:rPr>
        <w:t>00 / COVER METADATA — REPLACE THE BLOCK</w:t>
      </w:r>
    </w:p>
    <w:p w14:paraId="726C53D2" w14:textId="77777777" w:rsidR="00EE7C17" w:rsidRDefault="00A06C6F">
      <w:pPr>
        <w:spacing w:before="200" w:after="120"/>
      </w:pPr>
      <w:r>
        <w:rPr>
          <w:sz w:val="34"/>
          <w:szCs w:val="34"/>
        </w:rPr>
        <w:t xml:space="preserve">The </w:t>
      </w:r>
      <w:r>
        <w:rPr>
          <w:i/>
          <w:iCs/>
          <w:color w:val="A8341F"/>
          <w:sz w:val="34"/>
          <w:szCs w:val="34"/>
        </w:rPr>
        <w:t>title</w:t>
      </w:r>
      <w:r>
        <w:rPr>
          <w:sz w:val="34"/>
          <w:szCs w:val="34"/>
        </w:rPr>
        <w:t xml:space="preserve"> changes. Nothing else on the cover.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E7C17" w14:paraId="726C53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1E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26C53D3" w14:textId="77777777" w:rsidR="00EE7C17" w:rsidRDefault="00A06C6F">
            <w:r>
              <w:rPr>
                <w:rFonts w:ascii="Courier New" w:eastAsia="Courier New" w:hAnsi="Courier New" w:cs="Courier New"/>
                <w:color w:val="78726A"/>
                <w:spacing w:val="20"/>
                <w:sz w:val="17"/>
                <w:szCs w:val="17"/>
              </w:rPr>
              <w:t>FOUNDER</w:t>
            </w:r>
          </w:p>
        </w:tc>
        <w:tc>
          <w:tcPr>
            <w:tcW w:w="6760" w:type="dxa"/>
            <w:shd w:val="clear" w:color="auto" w:fill="F4F1E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26C53D4" w14:textId="77777777" w:rsidR="00EE7C17" w:rsidRDefault="00A06C6F">
            <w:r>
              <w:rPr>
                <w:sz w:val="21"/>
                <w:szCs w:val="21"/>
              </w:rPr>
              <w:t>Ahmad Al Hinaiti</w:t>
            </w:r>
          </w:p>
        </w:tc>
      </w:tr>
      <w:tr w:rsidR="00EE7C17" w14:paraId="726C53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1E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26C53D6" w14:textId="77777777" w:rsidR="00EE7C17" w:rsidRDefault="00A06C6F">
            <w:r>
              <w:rPr>
                <w:rFonts w:ascii="Courier New" w:eastAsia="Courier New" w:hAnsi="Courier New" w:cs="Courier New"/>
                <w:color w:val="78726A"/>
                <w:spacing w:val="20"/>
                <w:sz w:val="17"/>
                <w:szCs w:val="17"/>
              </w:rPr>
              <w:t>BASED</w:t>
            </w:r>
          </w:p>
        </w:tc>
        <w:tc>
          <w:tcPr>
            <w:tcW w:w="6760" w:type="dxa"/>
            <w:shd w:val="clear" w:color="auto" w:fill="F4F1E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26C53D7" w14:textId="77777777" w:rsidR="00EE7C17" w:rsidRDefault="00A06C6F">
            <w:r>
              <w:rPr>
                <w:sz w:val="21"/>
                <w:szCs w:val="21"/>
              </w:rPr>
              <w:t>Amman · MENA · Remote</w:t>
            </w:r>
          </w:p>
        </w:tc>
      </w:tr>
      <w:tr w:rsidR="00EE7C17" w14:paraId="726C53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1E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26C53D9" w14:textId="77777777" w:rsidR="00EE7C17" w:rsidRDefault="00A06C6F">
            <w:r>
              <w:rPr>
                <w:rFonts w:ascii="Courier New" w:eastAsia="Courier New" w:hAnsi="Courier New" w:cs="Courier New"/>
                <w:color w:val="78726A"/>
                <w:spacing w:val="20"/>
                <w:sz w:val="17"/>
                <w:szCs w:val="17"/>
              </w:rPr>
              <w:t>ISSUED</w:t>
            </w:r>
          </w:p>
        </w:tc>
        <w:tc>
          <w:tcPr>
            <w:tcW w:w="6760" w:type="dxa"/>
            <w:shd w:val="clear" w:color="auto" w:fill="F4F1E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26C53DA" w14:textId="77777777" w:rsidR="00EE7C17" w:rsidRDefault="00A06C6F">
            <w:r>
              <w:rPr>
                <w:sz w:val="21"/>
                <w:szCs w:val="21"/>
              </w:rPr>
              <w:t>2026 · V 1.4 · Internal reference document</w:t>
            </w:r>
          </w:p>
        </w:tc>
      </w:tr>
      <w:tr w:rsidR="00EE7C17" w14:paraId="726C53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1E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26C53DC" w14:textId="77777777" w:rsidR="00EE7C17" w:rsidRDefault="00A06C6F">
            <w:r>
              <w:rPr>
                <w:rFonts w:ascii="Courier New" w:eastAsia="Courier New" w:hAnsi="Courier New" w:cs="Courier New"/>
                <w:color w:val="78726A"/>
                <w:spacing w:val="20"/>
                <w:sz w:val="17"/>
                <w:szCs w:val="17"/>
              </w:rPr>
              <w:t>REPLACES</w:t>
            </w:r>
          </w:p>
        </w:tc>
        <w:tc>
          <w:tcPr>
            <w:tcW w:w="6760" w:type="dxa"/>
            <w:shd w:val="clear" w:color="auto" w:fill="F4F1E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26C53DD" w14:textId="77777777" w:rsidR="00EE7C17" w:rsidRDefault="00A06C6F">
            <w:r>
              <w:rPr>
                <w:sz w:val="21"/>
                <w:szCs w:val="21"/>
              </w:rPr>
              <w:t>Brand Handbook V 1.3</w:t>
            </w:r>
          </w:p>
        </w:tc>
      </w:tr>
      <w:tr w:rsidR="00EE7C17" w14:paraId="726C53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1E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26C53DF" w14:textId="77777777" w:rsidR="00EE7C17" w:rsidRDefault="00A06C6F">
            <w:r>
              <w:rPr>
                <w:rFonts w:ascii="Courier New" w:eastAsia="Courier New" w:hAnsi="Courier New" w:cs="Courier New"/>
                <w:color w:val="78726A"/>
                <w:spacing w:val="20"/>
                <w:sz w:val="17"/>
                <w:szCs w:val="17"/>
              </w:rPr>
              <w:t>CHANGES</w:t>
            </w:r>
          </w:p>
        </w:tc>
        <w:tc>
          <w:tcPr>
            <w:tcW w:w="6760" w:type="dxa"/>
            <w:shd w:val="clear" w:color="auto" w:fill="F4F1E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26C53E0" w14:textId="77777777" w:rsidR="00EE7C17" w:rsidRDefault="00A06C6F">
            <w:r>
              <w:rPr>
                <w:sz w:val="21"/>
                <w:szCs w:val="21"/>
              </w:rPr>
              <w:t>Title standardised to Founder · IFRS 18 set as lead content pillar · ZATCA reframed evergreen · D/01 corrected to Finance Desk (companion)</w:t>
            </w:r>
          </w:p>
        </w:tc>
      </w:tr>
      <w:tr w:rsidR="00EE7C17" w14:paraId="726C53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1EA"/>
            <w:tcMar>
              <w:top w:w="40" w:type="dxa"/>
              <w:left w:w="0" w:type="dxa"/>
              <w:bottom w:w="40" w:type="dxa"/>
              <w:right w:w="120" w:type="dxa"/>
            </w:tcMar>
          </w:tcPr>
          <w:p w14:paraId="726C53E2" w14:textId="77777777" w:rsidR="00EE7C17" w:rsidRDefault="00A06C6F">
            <w:r>
              <w:rPr>
                <w:rFonts w:ascii="Courier New" w:eastAsia="Courier New" w:hAnsi="Courier New" w:cs="Courier New"/>
                <w:color w:val="78726A"/>
                <w:spacing w:val="20"/>
                <w:sz w:val="17"/>
                <w:szCs w:val="17"/>
              </w:rPr>
              <w:t>CONTACT</w:t>
            </w:r>
          </w:p>
        </w:tc>
        <w:tc>
          <w:tcPr>
            <w:tcW w:w="6760" w:type="dxa"/>
            <w:shd w:val="clear" w:color="auto" w:fill="F4F1E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726C53E3" w14:textId="77777777" w:rsidR="00EE7C17" w:rsidRDefault="00A06C6F">
            <w:r>
              <w:rPr>
                <w:sz w:val="21"/>
                <w:szCs w:val="21"/>
              </w:rPr>
              <w:t>ahmad@daftaradvisory.com</w:t>
            </w:r>
          </w:p>
        </w:tc>
      </w:tr>
    </w:tbl>
    <w:p w14:paraId="726C53E5" w14:textId="77777777" w:rsidR="00EE7C17" w:rsidRDefault="00EE7C17">
      <w:pPr>
        <w:spacing w:after="80"/>
      </w:pPr>
    </w:p>
    <w:p w14:paraId="726C53E6" w14:textId="77777777" w:rsidR="00EE7C17" w:rsidRDefault="00A06C6F">
      <w:pPr>
        <w:spacing w:after="120" w:line="300" w:lineRule="auto"/>
      </w:pPr>
      <w:r>
        <w:rPr>
          <w:color w:val="78726A"/>
          <w:sz w:val="21"/>
          <w:szCs w:val="21"/>
        </w:rPr>
        <w:t>“Principal” is retired from every marketing and reference surface. Engagement letters already used Founder; this makes it one title, everywhere.</w:t>
      </w:r>
    </w:p>
    <w:p w14:paraId="726C53E7" w14:textId="77777777" w:rsidR="00EE7C17" w:rsidRDefault="00EE7C17">
      <w:pPr>
        <w:spacing w:after="120"/>
      </w:pPr>
    </w:p>
    <w:p w14:paraId="726C53E8" w14:textId="77777777" w:rsidR="00EE7C17" w:rsidRDefault="00A06C6F">
      <w:pPr>
        <w:spacing w:after="40"/>
      </w:pPr>
      <w:r>
        <w:rPr>
          <w:rFonts w:ascii="Courier New" w:eastAsia="Courier New" w:hAnsi="Courier New" w:cs="Courier New"/>
          <w:color w:val="A8341F"/>
          <w:spacing w:val="24"/>
          <w:sz w:val="17"/>
          <w:szCs w:val="17"/>
        </w:rPr>
        <w:t>00.3 / CHANGELOG · V1.3 → V1.4</w:t>
      </w:r>
    </w:p>
    <w:p w14:paraId="726C53E9" w14:textId="77777777" w:rsidR="00EE7C17" w:rsidRDefault="00A06C6F">
      <w:pPr>
        <w:spacing w:before="200" w:after="120"/>
      </w:pPr>
      <w:r>
        <w:rPr>
          <w:sz w:val="34"/>
          <w:szCs w:val="34"/>
        </w:rPr>
        <w:t xml:space="preserve">What </w:t>
      </w:r>
      <w:r>
        <w:rPr>
          <w:i/>
          <w:iCs/>
          <w:color w:val="A8341F"/>
          <w:sz w:val="34"/>
          <w:szCs w:val="34"/>
        </w:rPr>
        <w:t>changed</w:t>
      </w:r>
      <w:r>
        <w:rPr>
          <w:sz w:val="34"/>
          <w:szCs w:val="34"/>
        </w:rPr>
        <w:t>.</w:t>
      </w:r>
    </w:p>
    <w:p w14:paraId="726C53EA" w14:textId="77777777" w:rsidR="00EE7C17" w:rsidRDefault="00A06C6F">
      <w:pPr>
        <w:spacing w:after="140" w:line="300" w:lineRule="auto"/>
      </w:pPr>
      <w:r>
        <w:rPr>
          <w:color w:val="78726A"/>
          <w:sz w:val="21"/>
          <w:szCs w:val="21"/>
        </w:rPr>
        <w:t>Voice unchanged. Four corrections align the handbook and the standing docs to decisions taken 2 July 2026.</w:t>
      </w:r>
    </w:p>
    <w:p w14:paraId="726C53EB" w14:textId="77777777" w:rsidR="00EE7C17" w:rsidRDefault="00A06C6F">
      <w:pPr>
        <w:spacing w:after="100" w:line="300" w:lineRule="auto"/>
        <w:ind w:left="240"/>
      </w:pPr>
      <w:r>
        <w:rPr>
          <w:color w:val="A8341F"/>
          <w:sz w:val="21"/>
          <w:szCs w:val="21"/>
        </w:rPr>
        <w:t>▪</w:t>
      </w:r>
      <w:r>
        <w:rPr>
          <w:color w:val="A8341F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00 COVER  </w:t>
      </w:r>
      <w:r>
        <w:rPr>
          <w:sz w:val="21"/>
          <w:szCs w:val="21"/>
        </w:rPr>
        <w:t>Title standardised to Founder. One title across the cover, marketing assets, LinkedIn, and capability statements.</w:t>
      </w:r>
    </w:p>
    <w:p w14:paraId="726C53EC" w14:textId="77777777" w:rsidR="00EE7C17" w:rsidRDefault="00A06C6F">
      <w:pPr>
        <w:spacing w:after="100" w:line="300" w:lineRule="auto"/>
        <w:ind w:left="240"/>
      </w:pPr>
      <w:r>
        <w:rPr>
          <w:color w:val="A8341F"/>
          <w:sz w:val="21"/>
          <w:szCs w:val="21"/>
        </w:rPr>
        <w:t>▪</w:t>
      </w:r>
      <w:r>
        <w:rPr>
          <w:color w:val="A8341F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13 CALENDAR  </w:t>
      </w:r>
      <w:r>
        <w:rPr>
          <w:sz w:val="21"/>
          <w:szCs w:val="21"/>
        </w:rPr>
        <w:t>IFRS 18 transition named the lead content pillar for 2026–27 — the only current regulatory moment that maps straight onto A/01 and A/02.</w:t>
      </w:r>
    </w:p>
    <w:p w14:paraId="726C53ED" w14:textId="77777777" w:rsidR="00EE7C17" w:rsidRDefault="00A06C6F">
      <w:pPr>
        <w:spacing w:after="100" w:line="300" w:lineRule="auto"/>
        <w:ind w:left="240"/>
      </w:pPr>
      <w:r>
        <w:rPr>
          <w:color w:val="A8341F"/>
          <w:sz w:val="21"/>
          <w:szCs w:val="21"/>
        </w:rPr>
        <w:t>▪</w:t>
      </w:r>
      <w:r>
        <w:rPr>
          <w:color w:val="A8341F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13 CALENDAR  </w:t>
      </w:r>
      <w:r>
        <w:rPr>
          <w:sz w:val="21"/>
          <w:szCs w:val="21"/>
        </w:rPr>
        <w:t>ZATCA reframed from urgency to evergreen. Wave 24 cliff passed 30 June 2026; № 001 stays live as reference, no new countdown framing.</w:t>
      </w:r>
    </w:p>
    <w:p w14:paraId="726C53EE" w14:textId="77777777" w:rsidR="00EE7C17" w:rsidRDefault="00A06C6F">
      <w:pPr>
        <w:spacing w:after="100" w:line="300" w:lineRule="auto"/>
        <w:ind w:left="240"/>
      </w:pPr>
      <w:r>
        <w:rPr>
          <w:color w:val="A8341F"/>
          <w:sz w:val="21"/>
          <w:szCs w:val="21"/>
        </w:rPr>
        <w:t>▪</w:t>
      </w:r>
      <w:r>
        <w:rPr>
          <w:color w:val="A8341F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COMPANION  </w:t>
      </w:r>
      <w:r>
        <w:rPr>
          <w:sz w:val="21"/>
          <w:szCs w:val="21"/>
        </w:rPr>
        <w:t>D/01 corrected to Finance Desk in Standing Instructions 2.0 — resolving the Fractional Finance / Finance Desk split. Not a handbook edit; the handbook carries no service names. Logged here for the trail.</w:t>
      </w:r>
    </w:p>
    <w:p w14:paraId="726C53EF" w14:textId="77777777" w:rsidR="00EE7C17" w:rsidRDefault="00EE7C17">
      <w:pPr>
        <w:spacing w:after="120"/>
      </w:pPr>
    </w:p>
    <w:p w14:paraId="726C53F0" w14:textId="77777777" w:rsidR="00EE7C17" w:rsidRDefault="00A06C6F">
      <w:pPr>
        <w:spacing w:after="40"/>
      </w:pPr>
      <w:r>
        <w:rPr>
          <w:rFonts w:ascii="Courier New" w:eastAsia="Courier New" w:hAnsi="Courier New" w:cs="Courier New"/>
          <w:color w:val="A8341F"/>
          <w:spacing w:val="24"/>
          <w:sz w:val="17"/>
          <w:szCs w:val="17"/>
        </w:rPr>
        <w:t>13 / CONTENT CALENDAR — ADD THIS BLOCK</w:t>
      </w:r>
    </w:p>
    <w:p w14:paraId="726C53F1" w14:textId="77777777" w:rsidR="00EE7C17" w:rsidRDefault="00A06C6F">
      <w:pPr>
        <w:spacing w:before="200" w:after="120"/>
      </w:pPr>
      <w:r>
        <w:rPr>
          <w:sz w:val="34"/>
          <w:szCs w:val="34"/>
        </w:rPr>
        <w:t xml:space="preserve">Content </w:t>
      </w:r>
      <w:r>
        <w:rPr>
          <w:i/>
          <w:iCs/>
          <w:color w:val="A8341F"/>
          <w:sz w:val="34"/>
          <w:szCs w:val="34"/>
        </w:rPr>
        <w:t>pillars</w:t>
      </w:r>
      <w:r>
        <w:rPr>
          <w:sz w:val="34"/>
          <w:szCs w:val="34"/>
        </w:rPr>
        <w:t xml:space="preserve"> — current.</w:t>
      </w:r>
    </w:p>
    <w:p w14:paraId="726C53F2" w14:textId="77777777" w:rsidR="00EE7C17" w:rsidRDefault="00A06C6F">
      <w:pPr>
        <w:spacing w:after="140" w:line="300" w:lineRule="auto"/>
      </w:pPr>
      <w:r>
        <w:rPr>
          <w:color w:val="78726A"/>
          <w:sz w:val="21"/>
          <w:szCs w:val="21"/>
        </w:rPr>
        <w:t>The sample month is structure, not subject. These are the subjects, in priority.</w:t>
      </w:r>
    </w:p>
    <w:p w14:paraId="726C53F3" w14:textId="77777777" w:rsidR="00EE7C17" w:rsidRDefault="00A06C6F">
      <w:pPr>
        <w:spacing w:after="100" w:line="300" w:lineRule="auto"/>
        <w:ind w:left="240"/>
      </w:pPr>
      <w:r>
        <w:rPr>
          <w:color w:val="A8341F"/>
          <w:sz w:val="21"/>
          <w:szCs w:val="21"/>
        </w:rPr>
        <w:lastRenderedPageBreak/>
        <w:t>▪</w:t>
      </w:r>
      <w:r>
        <w:rPr>
          <w:color w:val="A8341F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01  </w:t>
      </w:r>
      <w:r>
        <w:rPr>
          <w:sz w:val="21"/>
          <w:szCs w:val="21"/>
        </w:rPr>
        <w:t>IFRS 18 transition — the lead pillar. Mandatory 1 January 2027; comparatives must be captured through 2026, so for December year-ends the restatement problem is accruing now. The only 2026–27 regulatory moment that maps straight onto A/01 and A/02 — and the boutique field is nearly silent on it in Arabic. Lead here.</w:t>
      </w:r>
    </w:p>
    <w:p w14:paraId="726C53F4" w14:textId="77777777" w:rsidR="00EE7C17" w:rsidRDefault="00A06C6F">
      <w:pPr>
        <w:spacing w:after="100" w:line="300" w:lineRule="auto"/>
        <w:ind w:left="240"/>
      </w:pPr>
      <w:r>
        <w:rPr>
          <w:color w:val="A8341F"/>
          <w:sz w:val="21"/>
          <w:szCs w:val="21"/>
        </w:rPr>
        <w:t>▪</w:t>
      </w:r>
      <w:r>
        <w:rPr>
          <w:color w:val="A8341F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02  </w:t>
      </w:r>
      <w:r>
        <w:rPr>
          <w:sz w:val="21"/>
          <w:szCs w:val="21"/>
        </w:rPr>
        <w:t>Contested positions in KSA construction — IFRS 15 POC, IFRS 16 recomputes, IAS 37 claims. The sector where the record is deepest. Feeds A/02 and D/02.</w:t>
      </w:r>
    </w:p>
    <w:p w14:paraId="726C53F5" w14:textId="77777777" w:rsidR="00EE7C17" w:rsidRDefault="00A06C6F">
      <w:pPr>
        <w:spacing w:after="100" w:line="300" w:lineRule="auto"/>
        <w:ind w:left="240"/>
      </w:pPr>
      <w:r>
        <w:rPr>
          <w:color w:val="A8341F"/>
          <w:sz w:val="21"/>
          <w:szCs w:val="21"/>
        </w:rPr>
        <w:t>▪</w:t>
      </w:r>
      <w:r>
        <w:rPr>
          <w:color w:val="A8341F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03  </w:t>
      </w:r>
      <w:r>
        <w:rPr>
          <w:sz w:val="21"/>
          <w:szCs w:val="21"/>
        </w:rPr>
        <w:t>Audit readiness, demystified — PBC packs, tie-outs, what the auditor actually asks for, written for the SME owner in plain language. Feeds A/03.</w:t>
      </w:r>
    </w:p>
    <w:p w14:paraId="726C53F6" w14:textId="77777777" w:rsidR="00EE7C17" w:rsidRDefault="00A06C6F">
      <w:pPr>
        <w:spacing w:after="100" w:line="300" w:lineRule="auto"/>
        <w:ind w:left="240"/>
      </w:pPr>
      <w:r>
        <w:rPr>
          <w:color w:val="A8341F"/>
          <w:sz w:val="21"/>
          <w:szCs w:val="21"/>
        </w:rPr>
        <w:t>▪</w:t>
      </w:r>
      <w:r>
        <w:rPr>
          <w:color w:val="A8341F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04  </w:t>
      </w:r>
      <w:r>
        <w:rPr>
          <w:sz w:val="21"/>
          <w:szCs w:val="21"/>
        </w:rPr>
        <w:t>ZATCA — evergreen, not urgent. Wave 24 passed 30 June 2026. № 001 stays live as reference; no new countdown framing. No Wave 25 announced.</w:t>
      </w:r>
    </w:p>
    <w:p w14:paraId="726C53F7" w14:textId="77777777" w:rsidR="00EE7C17" w:rsidRDefault="00EE7C17">
      <w:pPr>
        <w:spacing w:after="40"/>
      </w:pPr>
    </w:p>
    <w:p w14:paraId="726C53F8" w14:textId="77777777" w:rsidR="00EE7C17" w:rsidRDefault="00A06C6F">
      <w:pPr>
        <w:spacing w:after="120" w:line="300" w:lineRule="auto"/>
      </w:pPr>
      <w:r>
        <w:rPr>
          <w:i/>
          <w:iCs/>
          <w:sz w:val="21"/>
          <w:szCs w:val="21"/>
        </w:rPr>
        <w:t>The no-cadence rule still holds: no publication-schedule claim until three briefs have shipped.</w:t>
      </w:r>
    </w:p>
    <w:p w14:paraId="726C53F9" w14:textId="77777777" w:rsidR="00EE7C17" w:rsidRDefault="00EE7C17">
      <w:pPr>
        <w:spacing w:after="120"/>
      </w:pPr>
    </w:p>
    <w:p w14:paraId="726C53FA" w14:textId="77777777" w:rsidR="00EE7C17" w:rsidRDefault="00EE7C17">
      <w:pPr>
        <w:pBdr>
          <w:bottom w:val="single" w:sz="4" w:space="2" w:color="78726A"/>
        </w:pBdr>
        <w:spacing w:before="60" w:after="160"/>
      </w:pPr>
    </w:p>
    <w:p w14:paraId="726C53FB" w14:textId="77777777" w:rsidR="00EE7C17" w:rsidRDefault="00A06C6F">
      <w:pPr>
        <w:spacing w:after="40"/>
      </w:pPr>
      <w:r>
        <w:rPr>
          <w:rFonts w:ascii="Courier New" w:eastAsia="Courier New" w:hAnsi="Courier New" w:cs="Courier New"/>
          <w:color w:val="A8341F"/>
          <w:spacing w:val="24"/>
          <w:sz w:val="17"/>
          <w:szCs w:val="17"/>
        </w:rPr>
        <w:t>COMPANION / STANDING INSTRUCTIONS 2.0 — NOT A HANDBOOK EDIT</w:t>
      </w:r>
    </w:p>
    <w:p w14:paraId="726C53FC" w14:textId="77777777" w:rsidR="00EE7C17" w:rsidRDefault="00A06C6F">
      <w:pPr>
        <w:spacing w:before="200" w:after="120"/>
      </w:pPr>
      <w:r>
        <w:rPr>
          <w:sz w:val="34"/>
          <w:szCs w:val="34"/>
        </w:rPr>
        <w:t xml:space="preserve">One </w:t>
      </w:r>
      <w:r>
        <w:rPr>
          <w:i/>
          <w:iCs/>
          <w:color w:val="A8341F"/>
          <w:sz w:val="34"/>
          <w:szCs w:val="34"/>
        </w:rPr>
        <w:t>name</w:t>
      </w:r>
      <w:r>
        <w:rPr>
          <w:sz w:val="34"/>
          <w:szCs w:val="34"/>
        </w:rPr>
        <w:t xml:space="preserve"> for D/01.</w:t>
      </w:r>
    </w:p>
    <w:p w14:paraId="726C53FD" w14:textId="77777777" w:rsidR="00EE7C17" w:rsidRDefault="00A06C6F">
      <w:pPr>
        <w:spacing w:after="140" w:line="300" w:lineRule="auto"/>
      </w:pPr>
      <w:r>
        <w:rPr>
          <w:color w:val="78726A"/>
          <w:sz w:val="21"/>
          <w:szCs w:val="21"/>
        </w:rPr>
        <w:t>The Standing Instructions already name it “D/01 Finance Desk” in the Positioning section but “D/01 Fractional Finance” in the Practice Architecture block. Same document, two names. Fix the architecture line.</w:t>
      </w:r>
    </w:p>
    <w:p w14:paraId="726C53FE" w14:textId="77777777" w:rsidR="00EE7C17" w:rsidRDefault="00A06C6F">
      <w:pPr>
        <w:pBdr>
          <w:left w:val="single" w:sz="18" w:space="8" w:color="A8341F"/>
        </w:pBdr>
        <w:spacing w:after="60" w:line="280" w:lineRule="auto"/>
        <w:ind w:left="200"/>
      </w:pPr>
      <w:r>
        <w:rPr>
          <w:rFonts w:ascii="Courier New" w:eastAsia="Courier New" w:hAnsi="Courier New" w:cs="Courier New"/>
          <w:color w:val="78726A"/>
          <w:sz w:val="16"/>
          <w:szCs w:val="16"/>
        </w:rPr>
        <w:t xml:space="preserve">REPLACE  </w:t>
      </w:r>
      <w:r>
        <w:rPr>
          <w:rFonts w:ascii="Courier New" w:eastAsia="Courier New" w:hAnsi="Courier New" w:cs="Courier New"/>
          <w:color w:val="78726A"/>
          <w:sz w:val="18"/>
          <w:szCs w:val="18"/>
        </w:rPr>
        <w:t>D — Ongoing   D/01 Fractional Finance · D/02 Audit-firm Subcontract</w:t>
      </w:r>
    </w:p>
    <w:p w14:paraId="726C53FF" w14:textId="77777777" w:rsidR="00EE7C17" w:rsidRDefault="00A06C6F">
      <w:pPr>
        <w:pBdr>
          <w:left w:val="single" w:sz="18" w:space="8" w:color="A8341F"/>
        </w:pBdr>
        <w:spacing w:after="60" w:line="280" w:lineRule="auto"/>
        <w:ind w:left="200"/>
      </w:pPr>
      <w:r>
        <w:rPr>
          <w:rFonts w:ascii="Courier New" w:eastAsia="Courier New" w:hAnsi="Courier New" w:cs="Courier New"/>
          <w:color w:val="78726A"/>
          <w:sz w:val="16"/>
          <w:szCs w:val="16"/>
        </w:rPr>
        <w:t xml:space="preserve">WITH  </w:t>
      </w:r>
      <w:r>
        <w:rPr>
          <w:rFonts w:ascii="Courier New" w:eastAsia="Courier New" w:hAnsi="Courier New" w:cs="Courier New"/>
          <w:sz w:val="18"/>
          <w:szCs w:val="18"/>
        </w:rPr>
        <w:t>D — Ongoing   D/01 Finance Desk · D/02 Audit-firm Subcontract</w:t>
      </w:r>
    </w:p>
    <w:p w14:paraId="726C5400" w14:textId="77777777" w:rsidR="00EE7C17" w:rsidRDefault="00A06C6F">
      <w:pPr>
        <w:spacing w:before="40" w:after="160" w:line="280" w:lineRule="auto"/>
        <w:ind w:left="200"/>
      </w:pPr>
      <w:r>
        <w:rPr>
          <w:rFonts w:ascii="Courier New" w:eastAsia="Courier New" w:hAnsi="Courier New" w:cs="Courier New"/>
          <w:color w:val="A8341F"/>
          <w:sz w:val="16"/>
          <w:szCs w:val="16"/>
        </w:rPr>
        <w:t xml:space="preserve">Why  </w:t>
      </w:r>
      <w:r>
        <w:rPr>
          <w:i/>
          <w:iCs/>
        </w:rPr>
        <w:t>“Fractional” is on the D/01 ban list, and the positioning paragraph already uses Finance Desk. One name, both places.</w:t>
      </w:r>
    </w:p>
    <w:p w14:paraId="726C5401" w14:textId="77777777" w:rsidR="00EE7C17" w:rsidRDefault="00EE7C17">
      <w:pPr>
        <w:spacing w:after="120"/>
      </w:pPr>
    </w:p>
    <w:p w14:paraId="726C5402" w14:textId="77777777" w:rsidR="00EE7C17" w:rsidRDefault="00EE7C17">
      <w:pPr>
        <w:pBdr>
          <w:bottom w:val="single" w:sz="6" w:space="2" w:color="A8341F"/>
        </w:pBdr>
        <w:spacing w:before="60" w:after="160"/>
      </w:pPr>
    </w:p>
    <w:p w14:paraId="726C5403" w14:textId="77777777" w:rsidR="00EE7C17" w:rsidRDefault="00A06C6F">
      <w:r>
        <w:rPr>
          <w:rFonts w:ascii="Courier New" w:eastAsia="Courier New" w:hAnsi="Courier New" w:cs="Courier New"/>
          <w:color w:val="78726A"/>
          <w:spacing w:val="16"/>
          <w:sz w:val="15"/>
          <w:szCs w:val="15"/>
        </w:rPr>
        <w:t>RIGOROUS FINANCE, WITHOUT THE OVERHEAD</w:t>
      </w:r>
      <w:r>
        <w:rPr>
          <w:rFonts w:ascii="Courier New" w:eastAsia="Courier New" w:hAnsi="Courier New" w:cs="Courier New"/>
          <w:color w:val="78726A"/>
          <w:sz w:val="15"/>
          <w:szCs w:val="15"/>
        </w:rPr>
        <w:t xml:space="preserve">        Ahmad Al Hinaiti · Amman · 2026</w:t>
      </w:r>
    </w:p>
    <w:sectPr w:rsidR="00EE7C17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61F4B"/>
    <w:multiLevelType w:val="hybridMultilevel"/>
    <w:tmpl w:val="AB2A1754"/>
    <w:lvl w:ilvl="0" w:tplc="51AA5358">
      <w:start w:val="1"/>
      <w:numFmt w:val="bullet"/>
      <w:lvlText w:val="●"/>
      <w:lvlJc w:val="left"/>
      <w:pPr>
        <w:ind w:left="720" w:hanging="360"/>
      </w:pPr>
    </w:lvl>
    <w:lvl w:ilvl="1" w:tplc="E988BE44">
      <w:start w:val="1"/>
      <w:numFmt w:val="bullet"/>
      <w:lvlText w:val="○"/>
      <w:lvlJc w:val="left"/>
      <w:pPr>
        <w:ind w:left="1440" w:hanging="360"/>
      </w:pPr>
    </w:lvl>
    <w:lvl w:ilvl="2" w:tplc="D94CC458">
      <w:start w:val="1"/>
      <w:numFmt w:val="bullet"/>
      <w:lvlText w:val="■"/>
      <w:lvlJc w:val="left"/>
      <w:pPr>
        <w:ind w:left="2160" w:hanging="360"/>
      </w:pPr>
    </w:lvl>
    <w:lvl w:ilvl="3" w:tplc="FCFC15C4">
      <w:start w:val="1"/>
      <w:numFmt w:val="bullet"/>
      <w:lvlText w:val="●"/>
      <w:lvlJc w:val="left"/>
      <w:pPr>
        <w:ind w:left="2880" w:hanging="360"/>
      </w:pPr>
    </w:lvl>
    <w:lvl w:ilvl="4" w:tplc="600C24BA">
      <w:start w:val="1"/>
      <w:numFmt w:val="bullet"/>
      <w:lvlText w:val="○"/>
      <w:lvlJc w:val="left"/>
      <w:pPr>
        <w:ind w:left="3600" w:hanging="360"/>
      </w:pPr>
    </w:lvl>
    <w:lvl w:ilvl="5" w:tplc="59F0BC92">
      <w:start w:val="1"/>
      <w:numFmt w:val="bullet"/>
      <w:lvlText w:val="■"/>
      <w:lvlJc w:val="left"/>
      <w:pPr>
        <w:ind w:left="4320" w:hanging="360"/>
      </w:pPr>
    </w:lvl>
    <w:lvl w:ilvl="6" w:tplc="CAE8BAA0">
      <w:start w:val="1"/>
      <w:numFmt w:val="bullet"/>
      <w:lvlText w:val="●"/>
      <w:lvlJc w:val="left"/>
      <w:pPr>
        <w:ind w:left="5040" w:hanging="360"/>
      </w:pPr>
    </w:lvl>
    <w:lvl w:ilvl="7" w:tplc="015EB3AC">
      <w:start w:val="1"/>
      <w:numFmt w:val="bullet"/>
      <w:lvlText w:val="●"/>
      <w:lvlJc w:val="left"/>
      <w:pPr>
        <w:ind w:left="5760" w:hanging="360"/>
      </w:pPr>
    </w:lvl>
    <w:lvl w:ilvl="8" w:tplc="80F47BAA">
      <w:start w:val="1"/>
      <w:numFmt w:val="bullet"/>
      <w:lvlText w:val="●"/>
      <w:lvlJc w:val="left"/>
      <w:pPr>
        <w:ind w:left="6480" w:hanging="360"/>
      </w:pPr>
    </w:lvl>
  </w:abstractNum>
  <w:num w:numId="1" w16cid:durableId="941842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C17"/>
    <w:rsid w:val="003F4854"/>
    <w:rsid w:val="008E3BD4"/>
    <w:rsid w:val="00A06C6F"/>
    <w:rsid w:val="00EE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C53CA"/>
  <w15:docId w15:val="{3050BE67-4002-4909-B397-0B122D6D7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81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Al-Hinaiti</cp:lastModifiedBy>
  <cp:revision>2</cp:revision>
  <dcterms:created xsi:type="dcterms:W3CDTF">2026-07-17T11:53:00Z</dcterms:created>
  <dcterms:modified xsi:type="dcterms:W3CDTF">2026-07-17T11:53:00Z</dcterms:modified>
</cp:coreProperties>
</file>