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1EA"/>
  <w:body>
    <w:p>
      <w:pPr>
        <w:pBdr>
          <w:bottom w:val="single" w:color="A8341F" w:sz="16" w:space="4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before="140"/>
      </w:pPr>
      <w:r>
        <w:rPr>
          <w:rFonts w:ascii="Fraunces" w:cs="Fraunces" w:eastAsia="Fraunces" w:hAnsi="Fraunces"/>
          <w:color w:val="1A1814"/>
          <w:sz w:val="30"/>
          <w:szCs w:val="30"/>
        </w:rPr>
        <w:t xml:space="preserve">Daftar </w:t>
      </w:r>
      <w:r>
        <w:rPr>
          <w:rFonts w:ascii="Fraunces" w:cs="Fraunces" w:eastAsia="Fraunces" w:hAnsi="Fraunces"/>
          <w:i/>
          <w:iCs/>
          <w:color w:val="A8341F"/>
          <w:sz w:val="30"/>
          <w:szCs w:val="30"/>
        </w:rPr>
        <w:t xml:space="preserve">Advisory</w:t>
      </w:r>
      <w:r>
        <w:rPr>
          <w:rFonts w:ascii="Fraunces" w:cs="Fraunces" w:eastAsia="Fraunces" w:hAnsi="Fraunces"/>
          <w:i/>
          <w:iCs/>
          <w:color w:val="A8341F"/>
          <w:sz w:val="30"/>
          <w:szCs w:val="30"/>
        </w:rPr>
        <w:t xml:space="preserve">.</w:t>
      </w:r>
    </w:p>
    <w:p>
      <w:pPr>
        <w:spacing w:after="40" w:before="80"/>
      </w:pPr>
      <w:r>
        <w:rPr>
          <w:rFonts w:ascii="JetBrains Mono" w:cs="JetBrains Mono" w:eastAsia="JetBrains Mono" w:hAnsi="JetBrains Mono"/>
          <w:color w:val="78726A"/>
          <w:spacing w:val="24"/>
          <w:sz w:val="15"/>
          <w:szCs w:val="15"/>
        </w:rPr>
        <w:t xml:space="preserve">INTERNAL SERVICES PLAYBOOK  ·  B-02</w:t>
      </w:r>
    </w:p>
    <w:p>
      <w:pPr>
        <w:spacing w:after="60" w:before="40"/>
      </w:pPr>
      <w:r>
        <w:rPr>
          <w:rFonts w:ascii="JetBrains Mono" w:cs="JetBrains Mono" w:eastAsia="JetBrains Mono" w:hAnsi="JetBrains Mono"/>
          <w:color w:val="A8341F"/>
          <w:spacing w:val="24"/>
          <w:sz w:val="16"/>
          <w:szCs w:val="16"/>
        </w:rPr>
        <w:t xml:space="preserve">AREA B  /  COMPLIANCE, FILED ON TIME</w:t>
      </w:r>
    </w:p>
    <w:p>
      <w:pPr>
        <w:spacing w:after="140" w:before="6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30"/>
          <w:szCs w:val="30"/>
        </w:rPr>
        <w:t xml:space="preserve">UAE Corporate Tax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30"/>
          <w:szCs w:val="30"/>
        </w:rPr>
        <w:t xml:space="preserve">Compliance.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FY24 amendments, FY25 planning, SBR vs QFZP decision memo — with IFRS-for-SME book rebuilt where needed and related-party disclosure discipline 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UAE Corporate Tax, decided before year-end.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FEE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AED 12,000–40,000 · USD 3,270–10,900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EBE6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2–6 weeks depending on election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Fraunces" w:cs="Fraunces" w:eastAsia="Fraunces" w:hAnsi="Fraunces"/>
                <w:b w:val="false"/>
                <w:bCs w:val="false"/>
                <w:color w:val="1A1814"/>
                <w:sz w:val="18"/>
                <w:szCs w:val="18"/>
              </w:rPr>
              <w:t xml:space="preserve">B-02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80" w:before="60"/>
      </w:pPr>
      <w:r>
        <w:rPr>
          <w:rFonts w:ascii="JetBrains Mono" w:cs="JetBrains Mono" w:eastAsia="JetBrains Mono" w:hAnsi="JetBrains Mono"/>
          <w:color w:val="78726A"/>
          <w:spacing w:val="18"/>
          <w:sz w:val="14"/>
          <w:szCs w:val="14"/>
        </w:rPr>
        <w:t xml:space="preserve">AHMAD AL HINAITI  ·  AMMAN 2026  ·  NOT FOR EXTERNAL DISTRIBUTION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01  /  DEFINITION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What this service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is.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A compliance engagement for UAE entities subject to Federal Corporate Tax Law (effective for financial years starting on or after 1 June 2023; one annual return, filed and paid within nine months of period-end). Covers: FY24 return amendment where the original filing used provisional numbers, FY25 prospective planning, the Small Business Relief (SBR — AED 3M revenue threshold, available only for tax periods ending on or before 31 December 2026 unless extended) vs Qualifying Free Zone Person (QFZP) election decision, IFRS-for-SME compliance where revenue between AED 3M and 50M requires it, related-party transaction documentation, and transfer-pricing disclosure discipline for groups. Does not include the tax return filing itself, which requires an FTA-registered tax agent.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02  /  WHO BUYS IT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Trigger events and buyer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profile.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UAE mainland LLCs with AED 1–50M revenue facing a first or second CT return — most have filed FY24 with provisional numbers and need clean FY25 positioning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UAE free-zone entities uncertain whether they qualify as QFZP — the election is material and reversible only with restrictions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Groups with aggregate related-party transactions above AED 40M requiring the transfer-pricing disclosure form, or entities whose own revenue reaches AED 200M — or members of an MNE group with consolidated revenue of AED 3.15B — requiring Master and Local File documentation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Founders who elected SBR on FY24 and are now above the AED 3M threshold for FY25, or who are relying on SBR into a period ending after the 31 December 2026 sunset — they need a transition plan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Holding structures (DIFC, ADGM, mainland) where the CT position depends on substance tests not previously documented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03  /  WHAT'S INCLUDED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specific deliverables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list.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FY24 return review and amendment recommendation where the original filing was provisional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FY25 planning memorandum covering the CT position for the client's revenue and activity profile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SBR vs standard 9% CT vs QFZP decision memo where the election is available, with three-year projection showing which election dominates under plausible revenue scenarios — explicitly modelling the SBR sunset for tax periods ending after 31 December 2026, so the projection never assumes relief that has expired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IFRS-for-SME book rebuild where required (revenue between AED 3M and 50M) — scope overlaps with A/01 where applicable; pricing reflects the overlap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Related-party transaction register with counterparty identification, transaction classification, and arm's-length reasoning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Transfer-pricing disclosure schedule where required by the AED 40M aggregate related-party threshold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Substance-test documentation for free-zone entities claiming QFZP status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Auditor-ready package: the client's auditor can review our workpapers as part of their CT-position audit work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04  /  WHAT'S EXCLUDED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scope-creep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guard.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CT return filing itself — requires an FTA-registered tax agent; we support the agent, we do not file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FTA correspondence on behalf of the client — client arranges a licensed representative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Structuring advice that approaches general anti-avoidance territory — we do not opine on tax-avoidance structures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Individual tax matters — corporate tax only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Full Master File and Local File under OECD TP guidelines — available as a separate engagement where scope justifies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Domestic Minimum Top-up Tax (DMTT / Pillar Two) positions — applies from financial years starting on or after 1 January 2025 to UAE members of MNE groups above EUR 750M global revenue; above our buyer band entirely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05  /  DELIVERY METHODOLOGY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Week-by-week work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plan.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1 — Scoping. Review of FY24 filing, FY25 financial projections, group structure, free-zone registrations, related-party schedule. Confirm scope and elections to evaluate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2 — IFRS-for-SME book review or rebuild where required. Trial-balance integrity check; accounting-policy alignment to IFRS-SME where the client was on a looser framework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3 — Election analysis. SBR vs 9% vs QFZP modelled against three-year revenue scenarios, with the SBR sunset applied to any period ending after 31 December 2026. Decision memo drafted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4 — Substance-test documentation where QFZP claimed. Related-party register and transfer-pricing disclosure schedule completed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Week 5–6 — Auditor-ready package assembled. Draft delivered to client. One revision round. Final handover to client's tax agent for filing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06  /  FEE LOGIC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How the price is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set.</w:t>
      </w:r>
    </w:p>
    <w:p>
      <w:pPr>
        <w:spacing w:after="120" w:line="300"/>
        <w:jc w:val="left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SBR-eligible SME with simple mainland structure: AED 12,000. Mainland SME above AED 3M with IFRS-for-SME rebuild required: AED 18,000–25,000. Free-zone entity with QFZP decision: AED 22,000–30,000. Group with related-party disclosure requirement (AED 40M+ aggregate): AED 28,000–40,000. Entity revenue at or above AED 200M, or MNE group consolidated revenue at or above AED 3.15B, requiring Master/Local File: priced as bespoke TP engagement.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07  /  RISK FLAGS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What can go wrong, how to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handle it.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SBR relief expires for tax periods ending after 31 December 2026 — any multi-year election recommendation must state this as an explicit assumption; do not project SBR into FY2027 without flagging that continued relief depends on a future official extension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Client expects us to file the return — clarified at engagement letter; we support the tax agent, we do not file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QFZP substance test fails mid-engagement — the election is not available; redirect to standard 9% CT position with full reasoning documented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Client's FY24 filing contains material errors the client does not want to amend — decline the engagement if the resulting FY25 position would depend on the uncorrected FY24 errors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Group structure requires transfer-pricing analysis beyond the disclosure schedule — scope up or refer out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FTA issues new guidance mid-engagement that changes a position — update the memo; CT law is still maturing and this happens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08  /  REFERRAL-OUT PROTOCOL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If it is not a fit, where to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send them.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Return filing → FTA-registered tax agent (maintain a short list of two or three in Dubai, one in Abu Dhabi)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Full TP Master/Local File → specialist TP firm or Big Four TP practice for groups above AED 500M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DMTT / Pillar Two top-up tax for MNE groups above EUR 750M global revenue → Big Four; above our buyer band entirely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1A1814"/>
          <w:sz w:val="21"/>
          <w:szCs w:val="21"/>
        </w:rPr>
        <w:t xml:space="preserve">Individual tax matters → out of scope entirely; refer to private-client tax advisers</w:t>
      </w:r>
    </w:p>
    <w:p>
      <w:pPr>
        <w:pBdr>
          <w:bottom w:val="single" w:color="1A1814" w:sz="6" w:space="6"/>
        </w:pBdr>
        <w:spacing w:after="60" w:before="300"/>
      </w:pPr>
      <w:r>
        <w:rPr>
          <w:rFonts w:ascii="JetBrains Mono" w:cs="JetBrains Mono" w:eastAsia="JetBrains Mono" w:hAnsi="JetBrains Mono"/>
          <w:color w:val="A8341F"/>
          <w:spacing w:val="28"/>
          <w:sz w:val="17"/>
          <w:szCs w:val="17"/>
        </w:rPr>
        <w:t xml:space="preserve">09  /  A NOTE ON DELIVERY</w:t>
      </w:r>
    </w:p>
    <w:p>
      <w:pPr>
        <w:spacing w:after="120" w:before="40"/>
      </w:pPr>
      <w:r>
        <w:rPr>
          <w:rFonts w:ascii="Fraunces" w:cs="Fraunces" w:eastAsia="Fraunces" w:hAnsi="Fraunces"/>
          <w:b w:val="false"/>
          <w:bCs w:val="false"/>
          <w:i w:val="false"/>
          <w:iCs w:val="false"/>
          <w:color w:val="78726A"/>
          <w:sz w:val="21"/>
          <w:szCs w:val="21"/>
        </w:rPr>
        <w:t xml:space="preserve">The standard, not the </w:t>
      </w:r>
      <w:r>
        <w:rPr>
          <w:rFonts w:ascii="Fraunces" w:cs="Fraunces" w:eastAsia="Fraunces" w:hAnsi="Fraunces"/>
          <w:b w:val="false"/>
          <w:bCs w:val="false"/>
          <w:i/>
          <w:iCs/>
          <w:color w:val="A8341F"/>
          <w:sz w:val="21"/>
          <w:szCs w:val="21"/>
        </w:rPr>
        <w:t xml:space="preserve">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8D2C6" w:sz="2"/>
              <w:left w:val="none"/>
              <w:bottom w:val="single" w:color="D8D2C6" w:sz="2"/>
              <w:right w:val="none"/>
            </w:tcBorders>
            <w:shd w:fill="1A181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8"/>
            </w:pPr>
            <w:r>
              <w:rPr>
                <w:rFonts w:ascii="JetBrains Mono" w:cs="JetBrains Mono" w:eastAsia="JetBrains Mono" w:hAnsi="JetBrains Mono"/>
                <w:b/>
                <w:bCs/>
                <w:color w:val="F4F1EA"/>
                <w:spacing w:val="18"/>
                <w:sz w:val="15"/>
                <w:szCs w:val="15"/>
              </w:rPr>
              <w:t xml:space="preserve">A NOTE ON DELIVERY *This service is on its second major filing season. The market is better informed than it was in 2025 but still under-prepared. Positioning is not 'we know CT' (everyone claims this) — positioning is 'we rebuild the IFRS-for-SME book properly and document the election, so your tax agent has a clean package to file.' That substance-over-form message wins against brochure-tier competitors.*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INTERNAL  ·  AHMAD AL HINAITI</w:t>
    </w:r>
    <w:r>
      <w:rPr>
        <w:rFonts w:ascii="JetBrains Mono" w:cs="JetBrains Mono" w:eastAsia="JetBrains Mono" w:hAnsi="JetBrains Mono"/>
        <w:color w:val="78726A"/>
        <w:sz w:val="13"/>
        <w:szCs w:val="13"/>
      </w:rPr>
      <w:t xml:space="preserve">	</w:t>
    </w: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6" w:sz="4" w:space="6"/>
      </w:pBdr>
      <w:tabs>
        <w:tab w:val="right" w:pos="9360"/>
      </w:tabs>
    </w:pP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DAFTAR  ·  ADVISORY</w:t>
    </w:r>
    <w:r>
      <w:rPr>
        <w:rFonts w:ascii="JetBrains Mono" w:cs="JetBrains Mono" w:eastAsia="JetBrains Mono" w:hAnsi="JetBrains Mono"/>
        <w:color w:val="78726A"/>
        <w:spacing w:val="20"/>
        <w:sz w:val="13"/>
        <w:szCs w:val="13"/>
      </w:rPr>
      <w:t xml:space="preserve">	B-02  ·  UAE CORPORATE TAX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unces" w:cs="Fraunces" w:eastAsia="Fraunces" w:hAnsi="Fraunces"/>
        <w:color w:val="1A18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Daftar_Services_B02_UAE_Corporate_Tax</dc:title>
  <dc:creator>Daftar Advisory</dc:creator>
  <cp:lastModifiedBy>Un-named</cp:lastModifiedBy>
  <cp:revision>1</cp:revision>
  <dcterms:created xsi:type="dcterms:W3CDTF">2026-06-01T23:25:36.678Z</dcterms:created>
  <dcterms:modified xsi:type="dcterms:W3CDTF">2026-06-01T23:25:36.678Z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