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4F1EA"/>
  <w:body>
    <w:p>
      <w:pPr>
        <w:pBdr>
          <w:bottom w:val="single" w:color="A8341F" w:sz="16" w:space="4"/>
        </w:pBdr>
        <w:spacing w:after="0" w:before="200"/>
      </w:pPr>
      <w:r>
        <w:rPr>
          <w:sz w:val="2"/>
          <w:szCs w:val="2"/>
        </w:rPr>
        <w:t xml:space="preserve"/>
      </w:r>
    </w:p>
    <w:p>
      <w:pPr>
        <w:spacing w:after="0" w:before="220"/>
      </w:pPr>
      <w:r>
        <w:rPr>
          <w:rFonts w:ascii="Fraunces" w:cs="Fraunces" w:eastAsia="Fraunces" w:hAnsi="Fraunces"/>
          <w:b w:val="false"/>
          <w:bCs w:val="false"/>
          <w:color w:val="1A1814"/>
          <w:sz w:val="26"/>
          <w:szCs w:val="26"/>
        </w:rPr>
        <w:t xml:space="preserve">DAFTAR </w:t>
      </w:r>
      <w:r>
        <w:rPr>
          <w:rFonts w:ascii="Fraunces" w:cs="Fraunces" w:eastAsia="Fraunces" w:hAnsi="Fraunces"/>
          <w:color w:val="78726A"/>
          <w:sz w:val="26"/>
          <w:szCs w:val="26"/>
        </w:rPr>
        <w:t xml:space="preserve">·</w:t>
      </w:r>
      <w:r>
        <w:rPr>
          <w:rFonts w:ascii="Fraunces" w:cs="Fraunces" w:eastAsia="Fraunces" w:hAnsi="Fraunces"/>
          <w:color w:val="1A1814"/>
          <w:sz w:val="26"/>
          <w:szCs w:val="26"/>
        </w:rPr>
        <w:t xml:space="preserve"> ADVISORY</w:t>
      </w:r>
    </w:p>
    <w:p>
      <w:pPr>
        <w:spacing w:after="60" w:before="280"/>
      </w:pPr>
      <w:r>
        <w:rPr>
          <w:rFonts w:ascii="JetBrains Mono" w:cs="JetBrains Mono" w:eastAsia="JetBrains Mono" w:hAnsi="JetBrains Mono"/>
          <w:color w:val="A8341F"/>
          <w:spacing w:val="20"/>
          <w:sz w:val="16"/>
          <w:szCs w:val="16"/>
        </w:rPr>
        <w:t xml:space="preserve">WEBSITE IMPLEMENTATION  ·  RECONCILED SEQUENCE  ·  2026</w:t>
      </w:r>
    </w:p>
    <w:p>
      <w:pPr>
        <w:spacing w:after="0" w:before="40"/>
      </w:pPr>
      <w:r>
        <w:rPr>
          <w:rFonts w:ascii="Fraunces" w:cs="Fraunces" w:eastAsia="Fraunces" w:hAnsi="Fraunces"/>
          <w:color w:val="1A1814"/>
          <w:sz w:val="40"/>
          <w:szCs w:val="40"/>
        </w:rPr>
        <w:t xml:space="preserve">Compliance first, </w:t>
      </w:r>
      <w:r>
        <w:rPr>
          <w:rFonts w:ascii="Fraunces" w:cs="Fraunces" w:eastAsia="Fraunces" w:hAnsi="Fraunces"/>
          <w:i/>
          <w:iCs/>
          <w:color w:val="A8341F"/>
          <w:sz w:val="40"/>
          <w:szCs w:val="40"/>
        </w:rPr>
        <w:t xml:space="preserve">then</w:t>
      </w:r>
      <w:r>
        <w:rPr>
          <w:rFonts w:ascii="Fraunces" w:cs="Fraunces" w:eastAsia="Fraunces" w:hAnsi="Fraunces"/>
          <w:color w:val="1A1814"/>
          <w:sz w:val="40"/>
          <w:szCs w:val="40"/>
        </w:rPr>
        <w:t xml:space="preserve"> conversion.</w:t>
      </w:r>
    </w:p>
    <w:p>
      <w:pPr>
        <w:spacing w:after="24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One ordered sequence reconciling the Website Compliance Copy Review and the Website Conversion Copy Pack. The blocking compliance items precede every conversion change, so no traffic-driving surface ships onto a service card that has not yet had its qualifier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Site</w:t>
            </w:r>
          </w:p>
        </w:tc>
        <w:tc>
          <w:tcPr>
            <w:tcW w:type="dxa" w:w="67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daftaradvisory.com</w:t>
            </w:r>
          </w:p>
        </w:tc>
      </w:tr>
      <w:tr>
        <w:tc>
          <w:tcPr>
            <w:tcW w:type="dxa" w:w="26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Reconciles</w:t>
            </w:r>
          </w:p>
        </w:tc>
        <w:tc>
          <w:tcPr>
            <w:tcW w:type="dxa" w:w="67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Compliance Copy Review · Conversion Copy Pack</w:t>
            </w:r>
          </w:p>
        </w:tc>
      </w:tr>
      <w:tr>
        <w:tc>
          <w:tcPr>
            <w:tcW w:type="dxa" w:w="26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/>
                <w:iCs/>
                <w:color w:val="1A1814"/>
                <w:sz w:val="19"/>
                <w:szCs w:val="19"/>
              </w:rPr>
              <w:t xml:space="preserve">Promotion follows compliance, never precedes it</w:t>
            </w:r>
          </w:p>
        </w:tc>
      </w:tr>
      <w:tr>
        <w:tc>
          <w:tcPr>
            <w:tcW w:type="dxa" w:w="26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Ahmad Al Hinaiti · Amman 2026</w:t>
            </w:r>
          </w:p>
        </w:tc>
      </w:tr>
    </w:tbl>
    <w:p>
      <w:pPr>
        <w:pBdr>
          <w:bottom w:val="single" w:color="A8341F" w:sz="8" w:space="4"/>
        </w:pBdr>
        <w:spacing w:after="0" w:before="200"/>
      </w:pPr>
      <w:r>
        <w:rPr>
          <w:sz w:val="2"/>
          <w:szCs w:val="2"/>
        </w:rPr>
        <w:t xml:space="preserve"/>
      </w:r>
    </w:p>
    <w:p>
      <w:pPr>
        <w:spacing w:after="60" w:before="360"/>
      </w:pPr>
      <w:r>
        <w:rPr>
          <w:rFonts w:ascii="JetBrains Mono" w:cs="JetBrains Mono" w:eastAsia="JetBrains Mono" w:hAnsi="JetBrains Mono"/>
          <w:color w:val="A8341F"/>
          <w:spacing w:val="30"/>
          <w:sz w:val="17"/>
          <w:szCs w:val="17"/>
        </w:rPr>
        <w:t xml:space="preserve">00 / WHY THE ORDER MATTERS</w:t>
      </w:r>
    </w:p>
    <w:p>
      <w:pPr>
        <w:pBdr>
          <w:bottom w:val="single" w:color="1A1814" w:sz="6" w:space="1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The two documents are individually sound but their sequencing collides. The Compliance Review states that two items are </w:t>
      </w:r>
      <w:r>
        <w:rPr>
          <w:rFonts w:ascii="Fraunces" w:cs="Fraunces" w:eastAsia="Fraunces" w:hAnsi="Fraunces"/>
          <w:b/>
          <w:bCs/>
          <w:i w:val="false"/>
          <w:iCs w:val="false"/>
          <w:color w:val="1A1814"/>
          <w:sz w:val="21"/>
          <w:szCs w:val="21"/>
        </w:rPr>
        <w:t xml:space="preserve">blocking</w:t>
      </w: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 — complete before further promotion. The Conversion Pack </w:t>
      </w: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is</w:t>
      </w: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 promotion: a When-to-Call section and four service-card CTAs that drive more traffic to the service descriptions. Ship conversion first and you amplify traffic onto cards that still carry regulated-assurance misread risk.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This sequence resolves that. Phase 1 clears the two blocking compliance items. Phase 2 completes the high-priority compliance items. Phase 3 adds the remaining per-card qualifiers. Only then — Phase 4 — do the conversion lifts go live, onto cards that are already compliant. Phase 5 is the post-launch hold.</w:t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Note on framework wording: the public site keeps </w:t>
      </w: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“full IFRS”</w:t>
      </w: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 as plain-language signal to a CFO — this is correct and is the approved Compliance Review copy. The precise basis-of-preparation language (“IFRS Accounting Standards as endorsed in Saudi Arabia”) belongs in the financial-statement deliverables and policy memos, not the website. Two registers, both right in place.</w:t>
      </w:r>
    </w:p>
    <w:p>
      <w:pPr>
        <w:spacing w:after="60" w:before="360"/>
      </w:pPr>
      <w:r>
        <w:rPr>
          <w:rFonts w:ascii="JetBrains Mono" w:cs="JetBrains Mono" w:eastAsia="JetBrains Mono" w:hAnsi="JetBrains Mono"/>
          <w:color w:val="A8341F"/>
          <w:spacing w:val="30"/>
          <w:sz w:val="17"/>
          <w:szCs w:val="17"/>
        </w:rPr>
        <w:t xml:space="preserve">01 / PHASE 1 — BLOCKING</w:t>
      </w:r>
    </w:p>
    <w:p>
      <w:pPr>
        <w:pBdr>
          <w:bottom w:val="single" w:color="1A1814" w:sz="6" w:space="1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8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78726A"/>
          <w:sz w:val="21"/>
          <w:szCs w:val="21"/>
        </w:rPr>
        <w:t xml:space="preserve">Complete both before any further site promotion or outreach. Until these are live, hold Phase 4 entirely.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1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A/02 RENAME · HIGH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Rename </w:t>
      </w: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“Independent Technical Review”</w:t>
      </w: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 to “Technical Accounting Review” site-wide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“Independent review” carries a regulated ISRE 2400 / 2410 meaning — a reader could expect an assurance conclusion and opinion letter. Update every instance: services page, navigation, services grid, meta descriptions. The internal playbook keeps its full A-02 name; the public site uses the renamed version only.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REPLACEMENT — SUB-DESCRIPTION</w:t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A rigorous technical review of accounting positions, estimates, and disclosures against full IFRS — advisory only. No assurance conclusion or opinion letter is issued.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2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C/03 EXCLUSION · HIGH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three-way exclusion to the Quality of Earnings card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“Deal numbers your investor will trust” is commercially strong but carries three misread risks: a fairness opinion, a valuation, or an investment recommendation. The headline stays; the sub-description does the compliance work.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REPLACEMENT — SUB-DESCRIPTION</w:t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Analytical review of earnings quality, normalisation adjustments, and working capital trends — prepared for informed transaction decision-making. Not a valuation, fairness opinion, or audit. The buyer or seller uses the findings; Daftar does not advise on whether to proceed.</w:t>
      </w:r>
    </w:p>
    <w:p>
      <w:pPr>
        <w:spacing w:after="60" w:before="360"/>
      </w:pPr>
      <w:r>
        <w:rPr>
          <w:rFonts w:ascii="JetBrains Mono" w:cs="JetBrains Mono" w:eastAsia="JetBrains Mono" w:hAnsi="JetBrains Mono"/>
          <w:color w:val="A8341F"/>
          <w:spacing w:val="30"/>
          <w:sz w:val="17"/>
          <w:szCs w:val="17"/>
        </w:rPr>
        <w:t xml:space="preserve">02 / PHASE 2 — HIGH PRIORITY (WITHIN 7 DAYS)</w:t>
      </w:r>
    </w:p>
    <w:p>
      <w:pPr>
        <w:pBdr>
          <w:bottom w:val="single" w:color="1A1814" w:sz="6" w:space="1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3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SITE-WIDE FOOTER · HIGH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non-attest notice to the persistent footer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The disclaimer currently exists only in downloadable PDFs, not in the live page body. Add it to the footer component below the contact block, above the copyright line — appears on every page. Identical wording to the capability statement and The Daftar № 001; a visitor who reads the brief then the site should see the same words.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REPLACEMENT — FOOTER NOTICE</w:t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Daftar Advisory is a non-attest advisory practice. The principal does not hold a JACPA, SOCPA, or UAE Ministry of Economy audit licence and does not perform statutory audit, review, or agreed-upon-procedures engagements. All engagements are governed by a written engagement letter with fixed scope, fixed fee, and a written non-attest disclaimer.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4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A/01 QUALIFIER · MEDIUM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preparation-engagement qualifier to the IFRS FS card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“Prepare” is a legitimate advisory term; the risk is the absence of any qualifier. The “preparation engagement” phrasing mirrors ISRS 4410 terminology and signals technical fluency while closing the expectation gap.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REPLACEMENT — SUB-DESCRIPTION</w:t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I prepare IFRS financial statements for founders and CFOs across the Gulf — full-scope preparation engagement, non-attest. No audit opinion is issued.</w:t>
      </w:r>
    </w:p>
    <w:p>
      <w:pPr>
        <w:spacing w:after="60" w:before="360"/>
      </w:pPr>
      <w:r>
        <w:rPr>
          <w:rFonts w:ascii="JetBrains Mono" w:cs="JetBrains Mono" w:eastAsia="JetBrains Mono" w:hAnsi="JetBrains Mono"/>
          <w:color w:val="A8341F"/>
          <w:spacing w:val="30"/>
          <w:sz w:val="17"/>
          <w:szCs w:val="17"/>
        </w:rPr>
        <w:t xml:space="preserve">03 / PHASE 3 — REMAINING CARD QUALIFIERS</w:t>
      </w:r>
    </w:p>
    <w:p>
      <w:pPr>
        <w:pBdr>
          <w:bottom w:val="single" w:color="1A1814" w:sz="6" w:space="1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78726A"/>
          <w:sz w:val="21"/>
          <w:szCs w:val="21"/>
        </w:rPr>
        <w:t xml:space="preserve">Complete before the Wave 24 outbound push. Each is one line added to an existing card description.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CARD</w:t>
            </w:r>
          </w:p>
        </w:tc>
        <w:tc>
          <w:tcPr>
            <w:tcW w:type="dxa" w:w="6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LINE TO ADD</w:t>
            </w:r>
          </w:p>
        </w:tc>
      </w:tr>
      <w:tr>
        <w:tc>
          <w:tcPr>
            <w:tcW w:type="dxa" w:w="2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A/03 Audit Readiness</w:t>
            </w:r>
          </w:p>
        </w:tc>
        <w:tc>
          <w:tcPr>
            <w:tcW w:type="dxa" w:w="6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/>
                <w:iCs/>
                <w:color w:val="1A1814"/>
                <w:sz w:val="19"/>
                <w:szCs w:val="19"/>
              </w:rPr>
              <w:t xml:space="preserve">Gap identification, working-paper remediation, and disclosure review — advisory preparation only. Daftar does not perform or assist the statutory audit, and does not act on behalf of the external auditor.</w:t>
            </w:r>
          </w:p>
        </w:tc>
      </w:tr>
      <w:tr>
        <w:tc>
          <w:tcPr>
            <w:tcW w:type="dxa" w:w="2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B/01 ZATCA Phase 2</w:t>
            </w:r>
          </w:p>
        </w:tc>
        <w:tc>
          <w:tcPr>
            <w:tcW w:type="dxa" w:w="6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/>
                <w:iCs/>
                <w:color w:val="1A1814"/>
                <w:sz w:val="19"/>
                <w:szCs w:val="19"/>
              </w:rPr>
              <w:t xml:space="preserve">Advisory configuration support only. Filing responsibility and ZATCA registration remain with the taxpayer. Penalty appeals and ZATCA representation require a licensed tax representative.</w:t>
            </w:r>
          </w:p>
        </w:tc>
      </w:tr>
      <w:tr>
        <w:tc>
          <w:tcPr>
            <w:tcW w:type="dxa" w:w="2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B/02 UAE Corporate Tax</w:t>
            </w:r>
          </w:p>
        </w:tc>
        <w:tc>
          <w:tcPr>
            <w:tcW w:type="dxa" w:w="6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/>
                <w:iCs/>
                <w:color w:val="1A1814"/>
                <w:sz w:val="19"/>
                <w:szCs w:val="19"/>
              </w:rPr>
              <w:t xml:space="preserve">… prepared for your licensed FTA-registered tax agent to file and submit.</w:t>
            </w:r>
          </w:p>
        </w:tc>
      </w:tr>
      <w:tr>
        <w:tc>
          <w:tcPr>
            <w:tcW w:type="dxa" w:w="2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B/03 KSA Transfer Pricing</w:t>
            </w:r>
          </w:p>
        </w:tc>
        <w:tc>
          <w:tcPr>
            <w:tcW w:type="dxa" w:w="6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/>
                <w:iCs/>
                <w:color w:val="1A1814"/>
                <w:sz w:val="19"/>
                <w:szCs w:val="19"/>
              </w:rPr>
              <w:t xml:space="preserve">Documentation only — CTDF, Local File, and Master File support. ZATCA representation and APA negotiation are outside scope and will be referred to a specialist firm.</w:t>
            </w:r>
          </w:p>
        </w:tc>
      </w:tr>
      <w:tr>
        <w:tc>
          <w:tcPr>
            <w:tcW w:type="dxa" w:w="2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C/02 Nomu Readiness</w:t>
            </w:r>
          </w:p>
        </w:tc>
        <w:tc>
          <w:tcPr>
            <w:tcW w:type="dxa" w:w="6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/>
                <w:iCs/>
                <w:color w:val="1A1814"/>
                <w:sz w:val="19"/>
                <w:szCs w:val="19"/>
              </w:rPr>
              <w:t xml:space="preserve">Diagnostic and gap report only. Daftar is not CMA-licensed and does not act as financial adviser, sponsor, or reporting accountant. Those roles are performed by a licensed financial adviser engaged separately.</w:t>
            </w:r>
          </w:p>
        </w:tc>
      </w:tr>
    </w:tbl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B/02 full replacement line: “UAE Corporate Tax positions, technically prepared before year-end. FY24 amendment basis, FY25 planning memo, and Small Business Relief vs QFZP election analysis — prepared for your licensed FTA-registered tax agent to file and submit.”</w:t>
      </w:r>
    </w:p>
    <w:p>
      <w:pPr>
        <w:spacing w:after="60" w:before="360"/>
      </w:pPr>
      <w:r>
        <w:rPr>
          <w:rFonts w:ascii="JetBrains Mono" w:cs="JetBrains Mono" w:eastAsia="JetBrains Mono" w:hAnsi="JetBrains Mono"/>
          <w:color w:val="A8341F"/>
          <w:spacing w:val="30"/>
          <w:sz w:val="17"/>
          <w:szCs w:val="17"/>
        </w:rPr>
        <w:t xml:space="preserve">04 / PHASE 4 — CONVERSION (ONLY AFTER 1–3)</w:t>
      </w:r>
    </w:p>
    <w:p>
      <w:pPr>
        <w:pBdr>
          <w:bottom w:val="single" w:color="1A1814" w:sz="6" w:space="1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78726A"/>
          <w:sz w:val="21"/>
          <w:szCs w:val="21"/>
        </w:rPr>
        <w:t xml:space="preserve">Every card these surfaces route to is now compliant. The calendar-booking tool (Calendly or equivalent, one link) is the only non-copy task and gates the rest of this phase.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5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CALENDAR TOOL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Set up the booking tool — one link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The only non-copy task in the sequence. Calendly or equivalent; a single link to the scoping-call anchor. Everything below depends on it resolving.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6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WHEN-TO-CALL SECTION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When-to-Call block after the trust strip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Highest conversion value — buyers recognise their situation before they recognise a service name. Each row is a quiet link to the scoping-call anchor, the whole row clickable, not a button.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HEADLINE</w:t>
      </w:r>
    </w:p>
    <w:p>
      <w:pPr>
        <w:spacing w:after="8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5"/>
          <w:szCs w:val="25"/>
        </w:rPr>
        <w:t xml:space="preserve">The audit, the auditor, the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5"/>
          <w:szCs w:val="25"/>
        </w:rPr>
        <w:t xml:space="preserve">raise</w:t>
      </w: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5"/>
          <w:szCs w:val="25"/>
        </w:rPr>
        <w:t xml:space="preserve">.</w:t>
      </w:r>
    </w:p>
    <w:p>
      <w:pPr>
        <w:spacing w:after="60" w:before="2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TABLE — PASTE AS TWO-COLUMN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5180"/>
      </w:tblGrid>
      <w:tr>
        <w:trPr>
          <w:tblHeader/>
        </w:trPr>
        <w:tc>
          <w:tcPr>
            <w:tcW w:type="dxa" w:w="4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WHEN THIS IS TRUE</w:t>
            </w:r>
          </w:p>
        </w:tc>
        <w:tc>
          <w:tcPr>
            <w:tcW w:type="dxa" w:w="5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WHAT DAFTAR DOES</w:t>
            </w:r>
          </w:p>
        </w:tc>
      </w:tr>
      <w:tr>
        <w:tc>
          <w:tcPr>
            <w:tcW w:type="dxa" w:w="4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Your first audit is months away and the file isn’t ready</w:t>
            </w:r>
          </w:p>
        </w:tc>
        <w:tc>
          <w:tcPr>
            <w:tcW w:type="dxa" w:w="5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Prepares the IFRS financial statements and the working papers behind them</w:t>
            </w:r>
          </w:p>
        </w:tc>
      </w:tr>
      <w:tr>
        <w:tc>
          <w:tcPr>
            <w:tcW w:type="dxa" w:w="4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Your auditor is challenging an accounting position</w:t>
            </w:r>
          </w:p>
        </w:tc>
        <w:tc>
          <w:tcPr>
            <w:tcW w:type="dxa" w:w="5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Reviews the position against full IFRS and writes the memo that defends it — or corrects it</w:t>
            </w:r>
          </w:p>
        </w:tc>
      </w:tr>
      <w:tr>
        <w:tc>
          <w:tcPr>
            <w:tcW w:type="dxa" w:w="4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You’re raising capital or selling the business</w:t>
            </w:r>
          </w:p>
        </w:tc>
        <w:tc>
          <w:tcPr>
            <w:tcW w:type="dxa" w:w="5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Reviews earnings quality, working capital, and the numbers a buyer will test</w:t>
            </w:r>
          </w:p>
        </w:tc>
      </w:tr>
      <w:tr>
        <w:tc>
          <w:tcPr>
            <w:tcW w:type="dxa" w:w="4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Your board or investor needs a clean technical pack</w:t>
            </w:r>
          </w:p>
        </w:tc>
        <w:tc>
          <w:tcPr>
            <w:tcW w:type="dxa" w:w="5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Prepares the financial statements and the disclosures that stand up to scrutiny</w:t>
            </w:r>
          </w:p>
        </w:tc>
      </w:tr>
      <w:tr>
        <w:tc>
          <w:tcPr>
            <w:tcW w:type="dxa" w:w="4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Your finance function is one person short of what the year needs</w:t>
            </w:r>
          </w:p>
        </w:tc>
        <w:tc>
          <w:tcPr>
            <w:tcW w:type="dxa" w:w="518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Senior technical support, fixed scope — without the cost of a permanent hire</w:t>
            </w:r>
          </w:p>
        </w:tc>
      </w:tr>
    </w:tbl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Row two reads “challenging an accounting position,” consistent with the renamed A/02. “Or corrects it” signals the review is independent, not written to a pre-decided answer.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7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SERVICE-CARD CTAs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four CTA lines to the hero service cards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One line at the foot of each card. JetBrains Mono, muted grey, rust on hover — a text link, not a button. All four point to the same scoping-call anchor; the wording does the routing. Keep them quiet: if they compete with the hero CTA, they are too 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SERVICE CARD</w:t>
            </w:r>
          </w:p>
        </w:tc>
        <w:tc>
          <w:tcPr>
            <w:tcW w:type="dxa" w:w="5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F4F1EA"/>
                <w:spacing w:val="20"/>
                <w:sz w:val="16"/>
                <w:szCs w:val="16"/>
              </w:rPr>
              <w:t xml:space="preserve">CTA LINE (MONO, MUTED; RUST ON HOVER)</w:t>
            </w:r>
          </w:p>
        </w:tc>
      </w:tr>
      <w:tr>
        <w:tc>
          <w:tcPr>
            <w:tcW w:type="dxa" w:w="3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Technical Accounting Review</w:t>
            </w:r>
          </w:p>
        </w:tc>
        <w:tc>
          <w:tcPr>
            <w:tcW w:type="dxa" w:w="5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Talk through an accounting position  →</w:t>
            </w:r>
          </w:p>
        </w:tc>
      </w:tr>
      <w:tr>
        <w:tc>
          <w:tcPr>
            <w:tcW w:type="dxa" w:w="3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IFRS Financial Statements</w:t>
            </w:r>
          </w:p>
        </w:tc>
        <w:tc>
          <w:tcPr>
            <w:tcW w:type="dxa" w:w="5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Talk through your financial statements  →</w:t>
            </w:r>
          </w:p>
        </w:tc>
      </w:tr>
      <w:tr>
        <w:tc>
          <w:tcPr>
            <w:tcW w:type="dxa" w:w="3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Audit Readiness &amp; Remediation</w:t>
            </w:r>
          </w:p>
        </w:tc>
        <w:tc>
          <w:tcPr>
            <w:tcW w:type="dxa" w:w="5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Talk before your audit starts  →</w:t>
            </w:r>
          </w:p>
        </w:tc>
      </w:tr>
      <w:tr>
        <w:tc>
          <w:tcPr>
            <w:tcW w:type="dxa" w:w="37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olor w:val="1A1814"/>
                <w:sz w:val="19"/>
                <w:szCs w:val="19"/>
              </w:rPr>
              <w:t xml:space="preserve">Quality of Earnings</w:t>
            </w:r>
          </w:p>
        </w:tc>
        <w:tc>
          <w:tcPr>
            <w:tcW w:type="dxa" w:w="56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A1814"/>
                <w:sz w:val="19"/>
                <w:szCs w:val="19"/>
              </w:rPr>
              <w:t xml:space="preserve">Talk before you raise or sell  →</w:t>
            </w:r>
          </w:p>
        </w:tc>
      </w:tr>
    </w:tbl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8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PRIMARY CTA SUB-LABEL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sub-label beneath the booking button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Button text unchanged — “Book a scoping call.” “Scoping call” signals a practitioner who wants to understand the problem before quoting. The word “free” appears nowhere on the site; the sub-label removes the friction “free” was meant to address.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SUB-LABEL</w:t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No obligation  ·  30 minutes  ·  Fixed quote within 48 hours</w:t>
      </w:r>
    </w:p>
    <w:p>
      <w:pPr>
        <w:spacing w:after="40" w:before="240"/>
      </w:pPr>
      <w:r>
        <w:rPr>
          <w:rFonts w:ascii="JetBrains Mono" w:cs="JetBrains Mono" w:eastAsia="JetBrains Mono" w:hAnsi="JetBrains Mono"/>
          <w:color w:val="A8341F"/>
          <w:spacing w:val="10"/>
          <w:sz w:val="19"/>
          <w:szCs w:val="19"/>
        </w:rPr>
        <w:t xml:space="preserve">9</w:t>
      </w: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   POST-BOOKING INTAKE</w:t>
      </w:r>
    </w:p>
    <w:p>
      <w:pPr>
        <w:spacing w:after="80" w:before="0"/>
      </w:pPr>
      <w:r>
        <w:rPr>
          <w:rFonts w:ascii="Fraunces" w:cs="Fraunces" w:eastAsia="Fraunces" w:hAnsi="Fraunces"/>
          <w:i w:val="false"/>
          <w:iCs w:val="false"/>
          <w:color w:val="1A1814"/>
          <w:sz w:val="23"/>
          <w:szCs w:val="23"/>
        </w:rPr>
        <w:t xml:space="preserve">Add the intake block to the confirmation email</w:t>
      </w:r>
    </w:p>
    <w:p>
      <w:pPr>
        <w:spacing w:after="60" w:line="30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Not on the website — the booking-confirmation email, sent after a slot is confirmed. Five optional items; zero pre-booking friction. Do not move these in front of the booking step — pre-booking friction on a boutique advisory site costs leads.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78726A"/>
          <w:spacing w:val="20"/>
          <w:sz w:val="16"/>
          <w:szCs w:val="16"/>
        </w:rPr>
        <w:t xml:space="preserve">CONFIRMATION EMAIL — INTAKE BLOCK (PASTE VERBATIM)</w:t>
      </w:r>
    </w:p>
    <w:p>
      <w:pPr>
        <w:spacing w:after="4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1A1814"/>
          <w:sz w:val="21"/>
          <w:szCs w:val="21"/>
        </w:rPr>
        <w:t xml:space="preserve">So the call gets straight to the substance, a few things help to have in advance — none of it required: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Fraunces" w:cs="Fraunces" w:eastAsia="Fraunces" w:hAnsi="Fraunces"/>
          <w:i/>
          <w:iCs/>
          <w:color w:val="1A1814"/>
          <w:sz w:val="21"/>
          <w:szCs w:val="21"/>
        </w:rPr>
        <w:t xml:space="preserve">Which market the entity files in (KSA, UAE, Jordan, or other)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Fraunces" w:cs="Fraunces" w:eastAsia="Fraunces" w:hAnsi="Fraunces"/>
          <w:i/>
          <w:iCs/>
          <w:color w:val="1A1814"/>
          <w:sz w:val="21"/>
          <w:szCs w:val="21"/>
        </w:rPr>
        <w:t xml:space="preserve">The service area, if you already know it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Fraunces" w:cs="Fraunces" w:eastAsia="Fraunces" w:hAnsi="Fraunces"/>
          <w:i/>
          <w:iCs/>
          <w:color w:val="1A1814"/>
          <w:sz w:val="21"/>
          <w:szCs w:val="21"/>
        </w:rPr>
        <w:t xml:space="preserve">The deadline, if there is one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Fraunces" w:cs="Fraunces" w:eastAsia="Fraunces" w:hAnsi="Fraunces"/>
          <w:i/>
          <w:iCs/>
          <w:color w:val="1A1814"/>
          <w:sz w:val="21"/>
          <w:szCs w:val="21"/>
        </w:rPr>
        <w:t xml:space="preserve">One or two lines on the technical issue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Fraunces" w:cs="Fraunces" w:eastAsia="Fraunces" w:hAnsi="Fraunces"/>
          <w:i/>
          <w:iCs/>
          <w:color w:val="1A1814"/>
          <w:sz w:val="21"/>
          <w:szCs w:val="21"/>
        </w:rPr>
        <w:t xml:space="preserve">Any documents already in hand — trial balance, contracts, the auditor’s query list</w:t>
      </w:r>
    </w:p>
    <w:p>
      <w:pPr>
        <w:spacing w:after="60" w:before="360"/>
      </w:pPr>
      <w:r>
        <w:rPr>
          <w:rFonts w:ascii="JetBrains Mono" w:cs="JetBrains Mono" w:eastAsia="JetBrains Mono" w:hAnsi="JetBrains Mono"/>
          <w:color w:val="A8341F"/>
          <w:spacing w:val="30"/>
          <w:sz w:val="17"/>
          <w:szCs w:val="17"/>
        </w:rPr>
        <w:t xml:space="preserve">05 / PHASE 5 — HOLD</w:t>
      </w:r>
    </w:p>
    <w:p>
      <w:pPr>
        <w:pBdr>
          <w:bottom w:val="single" w:color="1A1814" w:sz="6" w:space="1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6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Hold the click-tracking work — the conversion review and the 90-day list — until the site has booked roughly 50 scoping calls. Below that volume the data will not support a decision. None of the changes above weaken the positioning: a practitioner who draws the boundary precisely signals that they know exactly where it sits. That is the brand.</w:t>
      </w:r>
    </w:p>
    <w:p>
      <w:pPr>
        <w:pBdr>
          <w:bottom w:val="single" w:color="A8341F" w:sz="8" w:space="4"/>
        </w:pBdr>
        <w:spacing w:after="0" w:before="240"/>
      </w:pPr>
      <w:r>
        <w:rPr>
          <w:sz w:val="2"/>
          <w:szCs w:val="2"/>
        </w:rPr>
        <w:t xml:space="preserve"/>
      </w:r>
    </w:p>
    <w:p>
      <w:pPr>
        <w:spacing w:before="160"/>
      </w:pPr>
      <w:r>
        <w:rPr>
          <w:rFonts w:ascii="Fraunces" w:cs="Fraunces" w:eastAsia="Fraunces" w:hAnsi="Fraunces"/>
          <w:i/>
          <w:iCs/>
          <w:color w:val="1A1814"/>
          <w:sz w:val="21"/>
          <w:szCs w:val="21"/>
        </w:rPr>
        <w:t xml:space="preserve">These changes turn confidence into a booked call — without a single loud button or the word </w:t>
      </w:r>
      <w:r>
        <w:rPr>
          <w:rFonts w:ascii="Fraunces" w:cs="Fraunces" w:eastAsia="Fraunces" w:hAnsi="Fraunces"/>
          <w:i/>
          <w:iCs/>
          <w:color w:val="A8341F"/>
          <w:sz w:val="21"/>
          <w:szCs w:val="21"/>
        </w:rPr>
        <w:t xml:space="preserve">“free.”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6" w:sz="4" w:space="6"/>
      </w:pBdr>
      <w:tabs>
        <w:tab w:val="right" w:pos="9360"/>
      </w:tabs>
    </w:pP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INTERNAL  ·  AHMAD AL HINAITI</w:t>
    </w:r>
    <w:r>
      <w:rPr>
        <w:rFonts w:ascii="JetBrains Mono" w:cs="JetBrains Mono" w:eastAsia="JetBrains Mono" w:hAnsi="JetBrains Mono"/>
        <w:color w:val="78726A"/>
        <w:sz w:val="13"/>
        <w:szCs w:val="13"/>
      </w:rPr>
      <w:t xml:space="preserve">	</w:t>
    </w: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6" w:sz="4" w:space="6"/>
      </w:pBdr>
      <w:tabs>
        <w:tab w:val="right" w:pos="9360"/>
      </w:tabs>
    </w:pPr>
    <w:r>
      <w:rPr>
        <w:rFonts w:ascii="JetBrains Mono" w:cs="JetBrains Mono" w:eastAsia="JetBrains Mono" w:hAnsi="JetBrains Mono"/>
        <w:color w:val="78726A"/>
        <w:spacing w:val="20"/>
        <w:sz w:val="14"/>
        <w:szCs w:val="14"/>
      </w:rPr>
      <w:t xml:space="preserve">DAFTAR  ·  ADVISORY</w:t>
    </w:r>
    <w:r>
      <w:rPr>
        <w:rFonts w:ascii="JetBrains Mono" w:cs="JetBrains Mono" w:eastAsia="JetBrains Mono" w:hAnsi="JetBrains Mono"/>
        <w:color w:val="78726A"/>
        <w:spacing w:val="20"/>
        <w:sz w:val="14"/>
        <w:szCs w:val="14"/>
      </w:rPr>
      <w:t xml:space="preserve">	WEBSITE IMPLEMENTATION — RECONCILED SEQUENCE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unces" w:cs="Fraunces" w:eastAsia="Fraunces" w:hAnsi="Fraunces"/>
        <w:color w:val="1A18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Implementation — Reconciled Sequence</dc:title>
  <dc:creator>Daftar Advisory</dc:creator>
  <cp:lastModifiedBy>Un-named</cp:lastModifiedBy>
  <cp:revision>1</cp:revision>
  <dcterms:created xsi:type="dcterms:W3CDTF">2026-06-01T21:23:18.900Z</dcterms:created>
  <dcterms:modified xsi:type="dcterms:W3CDTF">2026-06-01T21:23:18.900Z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