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EDDD" w14:textId="77777777" w:rsidR="005E3DFC" w:rsidRPr="005E3DFC" w:rsidRDefault="005E3DFC" w:rsidP="005E3DFC">
      <w:pPr>
        <w:jc w:val="both"/>
        <w:rPr>
          <w:b/>
          <w:bCs/>
        </w:rPr>
      </w:pPr>
      <w:r w:rsidRPr="005E3DFC">
        <w:rPr>
          <w:b/>
          <w:bCs/>
        </w:rPr>
        <w:t>Saudi ZATCA FATOORA Phase 2 Status as of May 2026</w:t>
      </w:r>
    </w:p>
    <w:p w14:paraId="298EE392" w14:textId="77777777" w:rsidR="005E3DFC" w:rsidRPr="005E3DFC" w:rsidRDefault="005E3DFC" w:rsidP="005E3DFC">
      <w:pPr>
        <w:jc w:val="both"/>
      </w:pPr>
      <w:r w:rsidRPr="005E3DFC">
        <w:t>Saudi Arabia still uses the official two-phase terminology: </w:t>
      </w:r>
      <w:r w:rsidRPr="005E3DFC">
        <w:rPr>
          <w:b/>
          <w:bCs/>
        </w:rPr>
        <w:t>Phase 1 is the “Generation Phase”</w:t>
      </w:r>
      <w:r w:rsidRPr="005E3DFC">
        <w:t> and </w:t>
      </w:r>
      <w:r w:rsidRPr="005E3DFC">
        <w:rPr>
          <w:b/>
          <w:bCs/>
        </w:rPr>
        <w:t>Phase 2 is the “Integration Phase”</w:t>
      </w:r>
      <w:r w:rsidRPr="005E3DFC">
        <w:t>; ZATCA’s rollout page says Phase 1 has applied since 4 December 2021 and Phase 2 applies from 1 January 2023 in waves by targeted taxpayer group.</w:t>
      </w:r>
    </w:p>
    <w:p w14:paraId="69BD18ED" w14:textId="77777777" w:rsidR="005E3DFC" w:rsidRPr="005E3DFC" w:rsidRDefault="005E3DFC" w:rsidP="005E3DFC">
      <w:pPr>
        <w:jc w:val="both"/>
        <w:rPr>
          <w:b/>
          <w:bCs/>
        </w:rPr>
      </w:pPr>
      <w:r w:rsidRPr="005E3DFC">
        <w:rPr>
          <w:b/>
          <w:bCs/>
        </w:rPr>
        <w:t>Current rollout status</w:t>
      </w:r>
    </w:p>
    <w:p w14:paraId="1672217A" w14:textId="77777777" w:rsidR="005E3DFC" w:rsidRPr="005E3DFC" w:rsidRDefault="005E3DFC" w:rsidP="005E3DFC">
      <w:pPr>
        <w:jc w:val="both"/>
      </w:pPr>
      <w:r w:rsidRPr="005E3DFC">
        <w:t>Phase 2 is still being rolled out by </w:t>
      </w:r>
      <w:r w:rsidRPr="005E3DFC">
        <w:rPr>
          <w:b/>
          <w:bCs/>
        </w:rPr>
        <w:t>waves</w:t>
      </w:r>
      <w:r w:rsidRPr="005E3DFC">
        <w:t>, selected mainly by VAT-taxable revenue thresholds and relevant assessment years, and ZATCA says taxpayers are notified at least </w:t>
      </w:r>
      <w:r w:rsidRPr="005E3DFC">
        <w:rPr>
          <w:b/>
          <w:bCs/>
        </w:rPr>
        <w:t>six months</w:t>
      </w:r>
      <w:r w:rsidRPr="005E3DFC">
        <w:t> before their integration date. The Implementation Resolution also says targeted groups must integrate with ZATCA systems using an API, and ZATCA must notify each target group at least six months before the due date.</w:t>
      </w:r>
    </w:p>
    <w:p w14:paraId="1B0A1378" w14:textId="77777777" w:rsidR="005E3DFC" w:rsidRDefault="005E3DFC" w:rsidP="005E3DFC">
      <w:pPr>
        <w:jc w:val="both"/>
      </w:pPr>
      <w:r w:rsidRPr="005E3DFC">
        <w:t>The latest confirmed wave found is </w:t>
      </w:r>
      <w:r w:rsidRPr="005E3DFC">
        <w:rPr>
          <w:b/>
          <w:bCs/>
        </w:rPr>
        <w:t>Wave 24</w:t>
      </w:r>
      <w:r w:rsidRPr="005E3DFC">
        <w:t>, covering taxpayers whose VAT-taxable revenues exceeded </w:t>
      </w:r>
      <w:r w:rsidRPr="005E3DFC">
        <w:rPr>
          <w:b/>
          <w:bCs/>
        </w:rPr>
        <w:t>SAR 375,000</w:t>
      </w:r>
      <w:r w:rsidRPr="005E3DFC">
        <w:t> during </w:t>
      </w:r>
      <w:r w:rsidRPr="005E3DFC">
        <w:rPr>
          <w:b/>
          <w:bCs/>
        </w:rPr>
        <w:t>2022, 2023, or 2024</w:t>
      </w:r>
      <w:r w:rsidRPr="005E3DFC">
        <w:t>, with integration required by </w:t>
      </w:r>
      <w:r w:rsidRPr="005E3DFC">
        <w:rPr>
          <w:b/>
          <w:bCs/>
        </w:rPr>
        <w:t>30 June 2026</w:t>
      </w:r>
      <w:r w:rsidRPr="005E3DFC">
        <w:t>. Wave 24 is therefore the relevant threshold for a Saudi VAT-registered business above SAR 375,000 but below SAR 750,000, while businesses above SAR 750,000 were already in Wave 23 with a 31 March 2026 deadline according to the consolidated wave table in EY’s alert, which cites ZATCA’s Wave 24 announcement (</w:t>
      </w:r>
      <w:hyperlink r:id="rId5" w:tgtFrame="_blank" w:history="1">
        <w:r w:rsidRPr="005E3DFC">
          <w:rPr>
            <w:rStyle w:val="Hyperlink"/>
          </w:rPr>
          <w:t>EY Tax Alert</w:t>
        </w:r>
      </w:hyperlink>
      <w:r w:rsidRPr="005E3DFC">
        <w:t>).</w:t>
      </w:r>
    </w:p>
    <w:p w14:paraId="6C9992B2" w14:textId="77777777" w:rsidR="005E3DFC" w:rsidRDefault="005E3DFC" w:rsidP="005E3DFC">
      <w:pPr>
        <w:jc w:val="both"/>
        <w:rPr>
          <w:b/>
          <w:bCs/>
        </w:rPr>
        <w:sectPr w:rsidR="005E3DFC" w:rsidSect="005E3DFC">
          <w:pgSz w:w="12240" w:h="15840" w:code="1"/>
          <w:pgMar w:top="1440" w:right="1440" w:bottom="1440" w:left="1440" w:header="720" w:footer="720" w:gutter="0"/>
          <w:cols w:space="720"/>
          <w:docGrid w:linePitch="360"/>
        </w:sectPr>
      </w:pPr>
    </w:p>
    <w:p w14:paraId="1405A97A" w14:textId="683381DE" w:rsidR="005E3DFC" w:rsidRPr="005E3DFC" w:rsidRDefault="005E3DFC" w:rsidP="005E3DFC">
      <w:pPr>
        <w:ind w:left="-1710"/>
        <w:jc w:val="both"/>
        <w:rPr>
          <w:b/>
          <w:bCs/>
        </w:rPr>
      </w:pPr>
      <w:r w:rsidRPr="005E3DFC">
        <w:rPr>
          <w:b/>
          <w:bCs/>
        </w:rPr>
        <w:lastRenderedPageBreak/>
        <w:t>Recent waves</w:t>
      </w:r>
    </w:p>
    <w:tbl>
      <w:tblPr>
        <w:tblW w:w="10761" w:type="dxa"/>
        <w:tblCellSpacing w:w="15" w:type="dxa"/>
        <w:tblInd w:w="-171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0"/>
        <w:gridCol w:w="2005"/>
        <w:gridCol w:w="1834"/>
        <w:gridCol w:w="1773"/>
        <w:gridCol w:w="4249"/>
      </w:tblGrid>
      <w:tr w:rsidR="005E3DFC" w:rsidRPr="005E3DFC" w14:paraId="269F4D3B" w14:textId="77777777" w:rsidTr="005E3DF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436884" w14:textId="77777777" w:rsidR="005E3DFC" w:rsidRPr="005E3DFC" w:rsidRDefault="005E3DFC" w:rsidP="005E3DFC">
            <w:pPr>
              <w:jc w:val="both"/>
              <w:rPr>
                <w:b/>
                <w:bCs/>
              </w:rPr>
            </w:pPr>
            <w:r w:rsidRPr="005E3DFC">
              <w:rPr>
                <w:b/>
                <w:bCs/>
              </w:rPr>
              <w:t>Wave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D0D5677" w14:textId="77777777" w:rsidR="005E3DFC" w:rsidRPr="005E3DFC" w:rsidRDefault="005E3DFC" w:rsidP="005E3DFC">
            <w:pPr>
              <w:jc w:val="both"/>
              <w:rPr>
                <w:b/>
                <w:bCs/>
              </w:rPr>
            </w:pPr>
            <w:r w:rsidRPr="005E3DFC">
              <w:rPr>
                <w:b/>
                <w:bCs/>
              </w:rPr>
              <w:t>VAT-taxable revenue threshold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3BAC3C8" w14:textId="77777777" w:rsidR="005E3DFC" w:rsidRPr="005E3DFC" w:rsidRDefault="005E3DFC" w:rsidP="005E3DFC">
            <w:pPr>
              <w:jc w:val="both"/>
              <w:rPr>
                <w:b/>
                <w:bCs/>
              </w:rPr>
            </w:pPr>
            <w:r w:rsidRPr="005E3DFC">
              <w:rPr>
                <w:b/>
                <w:bCs/>
              </w:rPr>
              <w:t>Assessment years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EF5C478" w14:textId="77777777" w:rsidR="005E3DFC" w:rsidRPr="005E3DFC" w:rsidRDefault="005E3DFC" w:rsidP="005E3DFC">
            <w:pPr>
              <w:jc w:val="both"/>
              <w:rPr>
                <w:b/>
                <w:bCs/>
              </w:rPr>
            </w:pPr>
            <w:r w:rsidRPr="005E3DFC">
              <w:rPr>
                <w:b/>
                <w:bCs/>
              </w:rPr>
              <w:t>Integration deadline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57F1040" w14:textId="77777777" w:rsidR="005E3DFC" w:rsidRPr="005E3DFC" w:rsidRDefault="005E3DFC" w:rsidP="005E3DFC">
            <w:pPr>
              <w:jc w:val="both"/>
              <w:rPr>
                <w:b/>
                <w:bCs/>
              </w:rPr>
            </w:pPr>
            <w:r w:rsidRPr="005E3DFC">
              <w:rPr>
                <w:b/>
                <w:bCs/>
              </w:rPr>
              <w:t>Evidence</w:t>
            </w:r>
          </w:p>
        </w:tc>
      </w:tr>
      <w:tr w:rsidR="005E3DFC" w:rsidRPr="005E3DFC" w14:paraId="26BDEF6C" w14:textId="77777777" w:rsidTr="005E3DF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628C27" w14:textId="77777777" w:rsidR="005E3DFC" w:rsidRPr="005E3DFC" w:rsidRDefault="005E3DFC" w:rsidP="005E3DFC">
            <w:pPr>
              <w:jc w:val="both"/>
            </w:pPr>
            <w:r w:rsidRPr="005E3DFC">
              <w:t>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A78518" w14:textId="77777777" w:rsidR="005E3DFC" w:rsidRPr="005E3DFC" w:rsidRDefault="005E3DFC" w:rsidP="005E3DFC">
            <w:pPr>
              <w:jc w:val="both"/>
            </w:pPr>
            <w:r w:rsidRPr="005E3DFC">
              <w:t>More than SAR 1.25m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A9A3CA" w14:textId="77777777" w:rsidR="005E3DFC" w:rsidRPr="005E3DFC" w:rsidRDefault="005E3DFC" w:rsidP="005E3DFC">
            <w:pPr>
              <w:jc w:val="both"/>
            </w:pPr>
            <w:r w:rsidRPr="005E3DFC">
              <w:t>2022, 2023, or 2024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FD4D75" w14:textId="77777777" w:rsidR="005E3DFC" w:rsidRPr="005E3DFC" w:rsidRDefault="005E3DFC" w:rsidP="005E3DFC">
            <w:pPr>
              <w:jc w:val="both"/>
            </w:pPr>
            <w:r w:rsidRPr="005E3DFC">
              <w:t>30 Nov 2025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914982" w14:textId="77777777" w:rsidR="005E3DFC" w:rsidRPr="005E3DFC" w:rsidRDefault="005E3DFC" w:rsidP="005E3DFC">
            <w:pPr>
              <w:jc w:val="both"/>
            </w:pPr>
            <w:r w:rsidRPr="005E3DFC">
              <w:t xml:space="preserve">ZATCA search </w:t>
            </w:r>
            <w:proofErr w:type="gramStart"/>
            <w:r w:rsidRPr="005E3DFC">
              <w:t>result</w:t>
            </w:r>
            <w:proofErr w:type="gramEnd"/>
            <w:r w:rsidRPr="005E3DFC">
              <w:t xml:space="preserve"> for Wave 21 states the threshold, years, and deadline.</w:t>
            </w:r>
          </w:p>
        </w:tc>
      </w:tr>
      <w:tr w:rsidR="005E3DFC" w:rsidRPr="005E3DFC" w14:paraId="127A0FEE" w14:textId="77777777" w:rsidTr="005E3DF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96CAFD" w14:textId="77777777" w:rsidR="005E3DFC" w:rsidRPr="005E3DFC" w:rsidRDefault="005E3DFC" w:rsidP="005E3DFC">
            <w:pPr>
              <w:jc w:val="both"/>
            </w:pPr>
            <w:r w:rsidRPr="005E3DFC">
              <w:t>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F63410" w14:textId="77777777" w:rsidR="005E3DFC" w:rsidRPr="005E3DFC" w:rsidRDefault="005E3DFC" w:rsidP="005E3DFC">
            <w:pPr>
              <w:jc w:val="both"/>
            </w:pPr>
            <w:r w:rsidRPr="005E3DFC">
              <w:t>More than SAR 1m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380FB9" w14:textId="77777777" w:rsidR="005E3DFC" w:rsidRPr="005E3DFC" w:rsidRDefault="005E3DFC" w:rsidP="005E3DFC">
            <w:pPr>
              <w:jc w:val="both"/>
            </w:pPr>
            <w:r w:rsidRPr="005E3DFC">
              <w:t>2022, 2023, or 2024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BFF1BD" w14:textId="77777777" w:rsidR="005E3DFC" w:rsidRPr="005E3DFC" w:rsidRDefault="005E3DFC" w:rsidP="005E3DFC">
            <w:pPr>
              <w:jc w:val="both"/>
            </w:pPr>
            <w:r w:rsidRPr="005E3DFC">
              <w:t>31 Dec 2025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9A9CF14" w14:textId="77777777" w:rsidR="005E3DFC" w:rsidRPr="005E3DFC" w:rsidRDefault="005E3DFC" w:rsidP="005E3DFC">
            <w:pPr>
              <w:jc w:val="both"/>
            </w:pPr>
            <w:r w:rsidRPr="005E3DFC">
              <w:t>Consolidated wave table in EY’s ZATCA alert (</w:t>
            </w:r>
            <w:hyperlink r:id="rId6" w:tgtFrame="_blank" w:history="1">
              <w:r w:rsidRPr="005E3DFC">
                <w:rPr>
                  <w:rStyle w:val="Hyperlink"/>
                </w:rPr>
                <w:t>EY Tax Alert</w:t>
              </w:r>
            </w:hyperlink>
            <w:r w:rsidRPr="005E3DFC">
              <w:t>).</w:t>
            </w:r>
          </w:p>
        </w:tc>
      </w:tr>
      <w:tr w:rsidR="005E3DFC" w:rsidRPr="005E3DFC" w14:paraId="6506B885" w14:textId="77777777" w:rsidTr="005E3DF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C1D2E2" w14:textId="77777777" w:rsidR="005E3DFC" w:rsidRPr="005E3DFC" w:rsidRDefault="005E3DFC" w:rsidP="005E3DFC">
            <w:pPr>
              <w:jc w:val="both"/>
            </w:pPr>
            <w:r w:rsidRPr="005E3DFC">
              <w:t>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C4157E" w14:textId="77777777" w:rsidR="005E3DFC" w:rsidRPr="005E3DFC" w:rsidRDefault="005E3DFC" w:rsidP="005E3DFC">
            <w:pPr>
              <w:jc w:val="both"/>
            </w:pPr>
            <w:r w:rsidRPr="005E3DFC">
              <w:t>More than SAR 750,000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798A77" w14:textId="77777777" w:rsidR="005E3DFC" w:rsidRPr="005E3DFC" w:rsidRDefault="005E3DFC" w:rsidP="005E3DFC">
            <w:pPr>
              <w:jc w:val="both"/>
            </w:pPr>
            <w:r w:rsidRPr="005E3DFC">
              <w:t>2022, 2023, or 2024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1F5A3" w14:textId="77777777" w:rsidR="005E3DFC" w:rsidRPr="005E3DFC" w:rsidRDefault="005E3DFC" w:rsidP="005E3DFC">
            <w:pPr>
              <w:jc w:val="both"/>
            </w:pPr>
            <w:r w:rsidRPr="005E3DFC">
              <w:t>31 Mar 2026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AF9322D" w14:textId="77777777" w:rsidR="005E3DFC" w:rsidRPr="005E3DFC" w:rsidRDefault="005E3DFC" w:rsidP="005E3DFC">
            <w:pPr>
              <w:jc w:val="both"/>
            </w:pPr>
            <w:r w:rsidRPr="005E3DFC">
              <w:t>Consolidated wave table in EY’s ZATCA alert (</w:t>
            </w:r>
            <w:hyperlink r:id="rId7" w:tgtFrame="_blank" w:history="1">
              <w:r w:rsidRPr="005E3DFC">
                <w:rPr>
                  <w:rStyle w:val="Hyperlink"/>
                </w:rPr>
                <w:t>EY Tax Alert</w:t>
              </w:r>
            </w:hyperlink>
            <w:r w:rsidRPr="005E3DFC">
              <w:t>).</w:t>
            </w:r>
          </w:p>
        </w:tc>
      </w:tr>
      <w:tr w:rsidR="005E3DFC" w:rsidRPr="005E3DFC" w14:paraId="24BE2B03" w14:textId="77777777" w:rsidTr="005E3DFC">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DE1ADCB" w14:textId="77777777" w:rsidR="005E3DFC" w:rsidRPr="005E3DFC" w:rsidRDefault="005E3DFC" w:rsidP="005E3DFC">
            <w:pPr>
              <w:jc w:val="both"/>
            </w:pPr>
            <w:r w:rsidRPr="005E3DFC">
              <w:t>24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5D518AA" w14:textId="77777777" w:rsidR="005E3DFC" w:rsidRPr="005E3DFC" w:rsidRDefault="005E3DFC" w:rsidP="005E3DFC">
            <w:pPr>
              <w:jc w:val="both"/>
            </w:pPr>
            <w:r w:rsidRPr="005E3DFC">
              <w:t>More than SAR 375,000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B201C62" w14:textId="77777777" w:rsidR="005E3DFC" w:rsidRPr="005E3DFC" w:rsidRDefault="005E3DFC" w:rsidP="005E3DFC">
            <w:pPr>
              <w:jc w:val="both"/>
            </w:pPr>
            <w:r w:rsidRPr="005E3DFC">
              <w:t>2022, 2023, or 2024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EDA149" w14:textId="77777777" w:rsidR="005E3DFC" w:rsidRPr="005E3DFC" w:rsidRDefault="005E3DFC" w:rsidP="005E3DFC">
            <w:pPr>
              <w:jc w:val="both"/>
            </w:pPr>
            <w:r w:rsidRPr="005E3DFC">
              <w:t>30 Jun 2026</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C514484" w14:textId="77777777" w:rsidR="005E3DFC" w:rsidRPr="005E3DFC" w:rsidRDefault="005E3DFC" w:rsidP="005E3DFC">
            <w:pPr>
              <w:jc w:val="both"/>
            </w:pPr>
            <w:r w:rsidRPr="005E3DFC">
              <w:t>ZATCA’s Wave 24 announcement states the SAR 375,000 threshold and 30 June 2026 deadline.</w:t>
            </w:r>
          </w:p>
        </w:tc>
      </w:tr>
    </w:tbl>
    <w:p w14:paraId="2E84C844" w14:textId="77777777" w:rsidR="005E3DFC" w:rsidRPr="005E3DFC" w:rsidRDefault="005E3DFC" w:rsidP="005E3DFC">
      <w:pPr>
        <w:ind w:left="-1710"/>
        <w:jc w:val="both"/>
      </w:pPr>
      <w:r w:rsidRPr="005E3DFC">
        <w:t>I did not find an official Wave 25 announcement in the retrieved ZATCA evidence, so Wave 24 should be treated as the latest confirmed wave for now.</w:t>
      </w:r>
    </w:p>
    <w:p w14:paraId="5A9DA807" w14:textId="77777777" w:rsidR="005E3DFC" w:rsidRDefault="005E3DFC" w:rsidP="005E3DFC">
      <w:pPr>
        <w:jc w:val="both"/>
        <w:rPr>
          <w:b/>
          <w:bCs/>
        </w:rPr>
        <w:sectPr w:rsidR="005E3DFC" w:rsidSect="005E3DFC">
          <w:pgSz w:w="12240" w:h="15840" w:code="1"/>
          <w:pgMar w:top="1440" w:right="2880" w:bottom="1440" w:left="2880" w:header="720" w:footer="720" w:gutter="0"/>
          <w:cols w:space="720"/>
          <w:docGrid w:linePitch="360"/>
        </w:sectPr>
      </w:pPr>
    </w:p>
    <w:p w14:paraId="370398B1" w14:textId="562BB780" w:rsidR="005E3DFC" w:rsidRPr="005E3DFC" w:rsidRDefault="005E3DFC" w:rsidP="005E3DFC">
      <w:pPr>
        <w:jc w:val="both"/>
        <w:rPr>
          <w:b/>
          <w:bCs/>
        </w:rPr>
      </w:pPr>
      <w:r w:rsidRPr="005E3DFC">
        <w:rPr>
          <w:b/>
          <w:bCs/>
        </w:rPr>
        <w:lastRenderedPageBreak/>
        <w:t xml:space="preserve">What Phase 2 </w:t>
      </w:r>
      <w:proofErr w:type="gramStart"/>
      <w:r w:rsidRPr="005E3DFC">
        <w:rPr>
          <w:b/>
          <w:bCs/>
        </w:rPr>
        <w:t>readiness requires</w:t>
      </w:r>
      <w:proofErr w:type="gramEnd"/>
    </w:p>
    <w:p w14:paraId="20059CCA" w14:textId="77777777" w:rsidR="005E3DFC" w:rsidRPr="005E3DFC" w:rsidRDefault="005E3DFC" w:rsidP="005E3DFC">
      <w:pPr>
        <w:jc w:val="both"/>
      </w:pPr>
      <w:r w:rsidRPr="005E3DFC">
        <w:t>A business must integrate its e-invoicing generation solution with ZATCA’s </w:t>
      </w:r>
      <w:r w:rsidRPr="005E3DFC">
        <w:rPr>
          <w:b/>
          <w:bCs/>
        </w:rPr>
        <w:t>FATOORA</w:t>
      </w:r>
      <w:r w:rsidRPr="005E3DFC">
        <w:t> platform through APIs, and electronic invoices and notes must be shared with ZATCA in </w:t>
      </w:r>
      <w:r w:rsidRPr="005E3DFC">
        <w:rPr>
          <w:b/>
          <w:bCs/>
        </w:rPr>
        <w:t>XML</w:t>
      </w:r>
      <w:r w:rsidRPr="005E3DFC">
        <w:t> format for integration purposes. ZATCA’s technical guideline says standard B2B tax invoices follow the </w:t>
      </w:r>
      <w:r w:rsidRPr="005E3DFC">
        <w:rPr>
          <w:b/>
          <w:bCs/>
        </w:rPr>
        <w:t>clearance</w:t>
      </w:r>
      <w:r w:rsidRPr="005E3DFC">
        <w:t> model, where invoices must be cleared before being provided to the buyer, while simplified B2C invoices follow the </w:t>
      </w:r>
      <w:r w:rsidRPr="005E3DFC">
        <w:rPr>
          <w:b/>
          <w:bCs/>
        </w:rPr>
        <w:t>reporting</w:t>
      </w:r>
      <w:r w:rsidRPr="005E3DFC">
        <w:t> model and must be reported within 24 hours of issuance.</w:t>
      </w:r>
    </w:p>
    <w:p w14:paraId="125CA6BC" w14:textId="77777777" w:rsidR="005E3DFC" w:rsidRPr="005E3DFC" w:rsidRDefault="005E3DFC" w:rsidP="005E3DFC">
      <w:pPr>
        <w:jc w:val="both"/>
      </w:pPr>
      <w:r w:rsidRPr="005E3DFC">
        <w:t>Technically, readiness includes:</w:t>
      </w:r>
    </w:p>
    <w:p w14:paraId="07753A5D" w14:textId="77777777" w:rsidR="005E3DFC" w:rsidRPr="005E3DFC" w:rsidRDefault="005E3DFC" w:rsidP="005E3DFC">
      <w:pPr>
        <w:numPr>
          <w:ilvl w:val="0"/>
          <w:numId w:val="1"/>
        </w:numPr>
        <w:jc w:val="both"/>
      </w:pPr>
      <w:r w:rsidRPr="005E3DFC">
        <w:rPr>
          <w:b/>
          <w:bCs/>
        </w:rPr>
        <w:t>Invoice format</w:t>
      </w:r>
      <w:r w:rsidRPr="005E3DFC">
        <w:t>: Generate e-invoices in XML, with PDF/A-3 with embedded XML used as a human-readable format where applicable, but ZATCA submission is XML rather than PDF/A-3.</w:t>
      </w:r>
    </w:p>
    <w:p w14:paraId="374CC0E0" w14:textId="77777777" w:rsidR="005E3DFC" w:rsidRPr="005E3DFC" w:rsidRDefault="005E3DFC" w:rsidP="005E3DFC">
      <w:pPr>
        <w:numPr>
          <w:ilvl w:val="0"/>
          <w:numId w:val="1"/>
        </w:numPr>
        <w:jc w:val="both"/>
      </w:pPr>
      <w:r w:rsidRPr="005E3DFC">
        <w:rPr>
          <w:b/>
          <w:bCs/>
        </w:rPr>
        <w:t>Clearance and reporting</w:t>
      </w:r>
      <w:r w:rsidRPr="005E3DFC">
        <w:t xml:space="preserve">: Submit B2B standard documents for clearance before buyer </w:t>
      </w:r>
      <w:proofErr w:type="gramStart"/>
      <w:r w:rsidRPr="005E3DFC">
        <w:t>delivery, and</w:t>
      </w:r>
      <w:proofErr w:type="gramEnd"/>
      <w:r w:rsidRPr="005E3DFC">
        <w:t xml:space="preserve"> submit B2C simplified documents through reporting within 24 hours.</w:t>
      </w:r>
    </w:p>
    <w:p w14:paraId="169028F8" w14:textId="77777777" w:rsidR="005E3DFC" w:rsidRPr="005E3DFC" w:rsidRDefault="005E3DFC" w:rsidP="005E3DFC">
      <w:pPr>
        <w:numPr>
          <w:ilvl w:val="0"/>
          <w:numId w:val="1"/>
        </w:numPr>
        <w:jc w:val="both"/>
      </w:pPr>
      <w:r w:rsidRPr="005E3DFC">
        <w:rPr>
          <w:b/>
          <w:bCs/>
        </w:rPr>
        <w:t>CSID onboarding</w:t>
      </w:r>
      <w:r w:rsidRPr="005E3DFC">
        <w:t>: Obtain a Compliance CSID for testing and a Production CSID for live reporting/clearance after successful compliance checks.</w:t>
      </w:r>
    </w:p>
    <w:p w14:paraId="33807288" w14:textId="77777777" w:rsidR="005E3DFC" w:rsidRPr="005E3DFC" w:rsidRDefault="005E3DFC" w:rsidP="005E3DFC">
      <w:pPr>
        <w:numPr>
          <w:ilvl w:val="0"/>
          <w:numId w:val="1"/>
        </w:numPr>
        <w:jc w:val="both"/>
      </w:pPr>
      <w:r w:rsidRPr="005E3DFC">
        <w:rPr>
          <w:b/>
          <w:bCs/>
        </w:rPr>
        <w:t>Security features</w:t>
      </w:r>
      <w:r w:rsidRPr="005E3DFC">
        <w:t>: Support UUIDs, invoice hashes, cryptographic stamps, QR codes, tamper-resistant counters, and anti-tampering controls.</w:t>
      </w:r>
    </w:p>
    <w:p w14:paraId="61B6AD56" w14:textId="77777777" w:rsidR="005E3DFC" w:rsidRPr="005E3DFC" w:rsidRDefault="005E3DFC" w:rsidP="005E3DFC">
      <w:pPr>
        <w:numPr>
          <w:ilvl w:val="0"/>
          <w:numId w:val="1"/>
        </w:numPr>
        <w:jc w:val="both"/>
      </w:pPr>
      <w:r w:rsidRPr="005E3DFC">
        <w:rPr>
          <w:b/>
          <w:bCs/>
        </w:rPr>
        <w:t>QR code and signing</w:t>
      </w:r>
      <w:r w:rsidRPr="005E3DFC">
        <w:t xml:space="preserve">: Generate Base64 TLV QR codes with required </w:t>
      </w:r>
      <w:proofErr w:type="gramStart"/>
      <w:r w:rsidRPr="005E3DFC">
        <w:t>fields, and</w:t>
      </w:r>
      <w:proofErr w:type="gramEnd"/>
      <w:r w:rsidRPr="005E3DFC">
        <w:t xml:space="preserve"> use SHA-256 and ECDSA signing processes as described in the technical guideline.</w:t>
      </w:r>
    </w:p>
    <w:p w14:paraId="3824A598" w14:textId="77777777" w:rsidR="005E3DFC" w:rsidRPr="005E3DFC" w:rsidRDefault="005E3DFC" w:rsidP="005E3DFC">
      <w:pPr>
        <w:numPr>
          <w:ilvl w:val="0"/>
          <w:numId w:val="1"/>
        </w:numPr>
        <w:jc w:val="both"/>
      </w:pPr>
      <w:r w:rsidRPr="005E3DFC">
        <w:rPr>
          <w:b/>
          <w:bCs/>
        </w:rPr>
        <w:t>Operational controls</w:t>
      </w:r>
      <w:r w:rsidRPr="005E3DFC">
        <w:t>: Prevent invoice deletion or alteration, default-password operation, multiple invoice sequences per EGS unit, cryptographic key export, and software time manipulation.</w:t>
      </w:r>
    </w:p>
    <w:p w14:paraId="70F17A87" w14:textId="77777777" w:rsidR="005E3DFC" w:rsidRPr="005E3DFC" w:rsidRDefault="005E3DFC" w:rsidP="005E3DFC">
      <w:pPr>
        <w:jc w:val="both"/>
      </w:pPr>
      <w:r w:rsidRPr="005E3DFC">
        <w:t>For a Saudi retail business with POS, e-commerce, and manual invoicing, Phase 2 readiness means every invoicing channel must generate compliant XML invoices, onboard the relevant EGS/POS units, obtain valid CSIDs, report simplified invoices within 24 hours, clear any B2B tax invoices before delivery, and eliminate manual/handwritten invoicing workflows.</w:t>
      </w:r>
    </w:p>
    <w:p w14:paraId="7AF683BA" w14:textId="77777777" w:rsidR="005E3DFC" w:rsidRPr="005E3DFC" w:rsidRDefault="005E3DFC" w:rsidP="005E3DFC">
      <w:pPr>
        <w:jc w:val="both"/>
      </w:pPr>
      <w:r w:rsidRPr="005E3DFC">
        <w:t xml:space="preserve">Bottom line: the template </w:t>
      </w:r>
      <w:proofErr w:type="gramStart"/>
      <w:r w:rsidRPr="005E3DFC">
        <w:t>claim</w:t>
      </w:r>
      <w:proofErr w:type="gramEnd"/>
      <w:r w:rsidRPr="005E3DFC">
        <w:t xml:space="preserve"> that a taxpayer above </w:t>
      </w:r>
      <w:r w:rsidRPr="005E3DFC">
        <w:rPr>
          <w:b/>
          <w:bCs/>
        </w:rPr>
        <w:t>SAR 375,000</w:t>
      </w:r>
      <w:r w:rsidRPr="005E3DFC">
        <w:t> is in </w:t>
      </w:r>
      <w:r w:rsidRPr="005E3DFC">
        <w:rPr>
          <w:b/>
          <w:bCs/>
        </w:rPr>
        <w:t>Wave 24</w:t>
      </w:r>
      <w:r w:rsidRPr="005E3DFC">
        <w:t> with an integration deadline of </w:t>
      </w:r>
      <w:r w:rsidRPr="005E3DFC">
        <w:rPr>
          <w:b/>
          <w:bCs/>
        </w:rPr>
        <w:t>30 June 2026</w:t>
      </w:r>
      <w:r w:rsidRPr="005E3DFC">
        <w:t> is officially supported by ZATCA’s Wave 24 announcement.</w:t>
      </w:r>
    </w:p>
    <w:p w14:paraId="58A90F9F" w14:textId="77777777" w:rsidR="002E2109" w:rsidRDefault="002E2109" w:rsidP="005E3DFC">
      <w:pPr>
        <w:jc w:val="both"/>
      </w:pPr>
    </w:p>
    <w:sectPr w:rsidR="002E2109" w:rsidSect="005E3DFC">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B19B1"/>
    <w:multiLevelType w:val="multilevel"/>
    <w:tmpl w:val="9B9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945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D1"/>
    <w:rsid w:val="00272686"/>
    <w:rsid w:val="002E2109"/>
    <w:rsid w:val="004E1290"/>
    <w:rsid w:val="005E3DFC"/>
    <w:rsid w:val="00AA171E"/>
    <w:rsid w:val="00C808D1"/>
    <w:rsid w:val="00E455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9A2E"/>
  <w15:chartTrackingRefBased/>
  <w15:docId w15:val="{F7DCD8E3-15E9-4756-9925-92445589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8D1"/>
    <w:rPr>
      <w:rFonts w:eastAsiaTheme="majorEastAsia" w:cstheme="majorBidi"/>
      <w:color w:val="272727" w:themeColor="text1" w:themeTint="D8"/>
    </w:rPr>
  </w:style>
  <w:style w:type="paragraph" w:styleId="Title">
    <w:name w:val="Title"/>
    <w:basedOn w:val="Normal"/>
    <w:next w:val="Normal"/>
    <w:link w:val="TitleChar"/>
    <w:uiPriority w:val="10"/>
    <w:qFormat/>
    <w:rsid w:val="00C8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8D1"/>
    <w:pPr>
      <w:spacing w:before="160"/>
      <w:jc w:val="center"/>
    </w:pPr>
    <w:rPr>
      <w:i/>
      <w:iCs/>
      <w:color w:val="404040" w:themeColor="text1" w:themeTint="BF"/>
    </w:rPr>
  </w:style>
  <w:style w:type="character" w:customStyle="1" w:styleId="QuoteChar">
    <w:name w:val="Quote Char"/>
    <w:basedOn w:val="DefaultParagraphFont"/>
    <w:link w:val="Quote"/>
    <w:uiPriority w:val="29"/>
    <w:rsid w:val="00C808D1"/>
    <w:rPr>
      <w:i/>
      <w:iCs/>
      <w:color w:val="404040" w:themeColor="text1" w:themeTint="BF"/>
    </w:rPr>
  </w:style>
  <w:style w:type="paragraph" w:styleId="ListParagraph">
    <w:name w:val="List Paragraph"/>
    <w:basedOn w:val="Normal"/>
    <w:uiPriority w:val="34"/>
    <w:qFormat/>
    <w:rsid w:val="00C808D1"/>
    <w:pPr>
      <w:ind w:left="720"/>
      <w:contextualSpacing/>
    </w:pPr>
  </w:style>
  <w:style w:type="character" w:styleId="IntenseEmphasis">
    <w:name w:val="Intense Emphasis"/>
    <w:basedOn w:val="DefaultParagraphFont"/>
    <w:uiPriority w:val="21"/>
    <w:qFormat/>
    <w:rsid w:val="00C808D1"/>
    <w:rPr>
      <w:i/>
      <w:iCs/>
      <w:color w:val="0F4761" w:themeColor="accent1" w:themeShade="BF"/>
    </w:rPr>
  </w:style>
  <w:style w:type="paragraph" w:styleId="IntenseQuote">
    <w:name w:val="Intense Quote"/>
    <w:basedOn w:val="Normal"/>
    <w:next w:val="Normal"/>
    <w:link w:val="IntenseQuoteChar"/>
    <w:uiPriority w:val="30"/>
    <w:qFormat/>
    <w:rsid w:val="00C80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8D1"/>
    <w:rPr>
      <w:i/>
      <w:iCs/>
      <w:color w:val="0F4761" w:themeColor="accent1" w:themeShade="BF"/>
    </w:rPr>
  </w:style>
  <w:style w:type="character" w:styleId="IntenseReference">
    <w:name w:val="Intense Reference"/>
    <w:basedOn w:val="DefaultParagraphFont"/>
    <w:uiPriority w:val="32"/>
    <w:qFormat/>
    <w:rsid w:val="00C808D1"/>
    <w:rPr>
      <w:b/>
      <w:bCs/>
      <w:smallCaps/>
      <w:color w:val="0F4761" w:themeColor="accent1" w:themeShade="BF"/>
      <w:spacing w:val="5"/>
    </w:rPr>
  </w:style>
  <w:style w:type="character" w:styleId="Hyperlink">
    <w:name w:val="Hyperlink"/>
    <w:basedOn w:val="DefaultParagraphFont"/>
    <w:uiPriority w:val="99"/>
    <w:unhideWhenUsed/>
    <w:rsid w:val="005E3DFC"/>
    <w:rPr>
      <w:color w:val="467886" w:themeColor="hyperlink"/>
      <w:u w:val="single"/>
    </w:rPr>
  </w:style>
  <w:style w:type="character" w:styleId="UnresolvedMention">
    <w:name w:val="Unresolved Mention"/>
    <w:basedOn w:val="DefaultParagraphFont"/>
    <w:uiPriority w:val="99"/>
    <w:semiHidden/>
    <w:unhideWhenUsed/>
    <w:rsid w:val="005E3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y.com/en_gl/technical/tax-alerts/saudi-arabia-announces-24th-wave-of-phase-2-e-invoicing-integr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y.com/en_gl/technical/tax-alerts/saudi-arabia-announces-24th-wave-of-phase-2-e-invoicing-integration" TargetMode="External"/><Relationship Id="rId5" Type="http://schemas.openxmlformats.org/officeDocument/2006/relationships/hyperlink" Target="https://www.ey.com/en_gl/technical/tax-alerts/saudi-arabia-announces-24th-wave-of-phase-2-e-invoicing-integr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Al-Hinaiti</dc:creator>
  <cp:keywords/>
  <dc:description/>
  <cp:lastModifiedBy>Ahmad Al-Hinaiti</cp:lastModifiedBy>
  <cp:revision>2</cp:revision>
  <dcterms:created xsi:type="dcterms:W3CDTF">2026-06-01T10:52:00Z</dcterms:created>
  <dcterms:modified xsi:type="dcterms:W3CDTF">2026-06-01T10:55:00Z</dcterms:modified>
</cp:coreProperties>
</file>