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4F1EA"/>
  <w:body>
    <w:p>
      <w:pPr>
        <w:pBdr>
          <w:bottom w:val="single" w:color="A8341F" w:sz="16" w:space="4"/>
        </w:pBdr>
        <w:spacing w:after="120" w:before="60"/>
      </w:pPr>
      <w:r>
        <w:rPr>
          <w:sz w:val="2"/>
          <w:szCs w:val="2"/>
        </w:rPr>
        <w:t xml:space="preserve"/>
      </w:r>
    </w:p>
    <w:p>
      <w:pPr>
        <w:spacing w:after="120" w:before="140"/>
      </w:pPr>
      <w:r>
        <w:rPr>
          <w:rFonts w:ascii="Fraunces" w:cs="Fraunces" w:eastAsia="Fraunces" w:hAnsi="Fraunces"/>
          <w:color w:val="1A1814"/>
          <w:sz w:val="30"/>
          <w:szCs w:val="30"/>
        </w:rPr>
        <w:t xml:space="preserve">Daftar </w:t>
      </w:r>
      <w:r>
        <w:rPr>
          <w:rFonts w:ascii="Fraunces" w:cs="Fraunces" w:eastAsia="Fraunces" w:hAnsi="Fraunces"/>
          <w:i/>
          <w:iCs/>
          <w:color w:val="A8341F"/>
          <w:sz w:val="30"/>
          <w:szCs w:val="30"/>
        </w:rPr>
        <w:t xml:space="preserve">Advisory</w:t>
      </w:r>
      <w:r>
        <w:rPr>
          <w:rFonts w:ascii="Fraunces" w:cs="Fraunces" w:eastAsia="Fraunces" w:hAnsi="Fraunces"/>
          <w:i/>
          <w:iCs/>
          <w:color w:val="A8341F"/>
          <w:sz w:val="30"/>
          <w:szCs w:val="30"/>
        </w:rPr>
        <w:t xml:space="preserve">.</w:t>
      </w:r>
    </w:p>
    <w:p>
      <w:pPr>
        <w:spacing w:after="40" w:before="80"/>
      </w:pPr>
      <w:r>
        <w:rPr>
          <w:rFonts w:ascii="JetBrains Mono" w:cs="JetBrains Mono" w:eastAsia="JetBrains Mono" w:hAnsi="JetBrains Mono"/>
          <w:color w:val="78726A"/>
          <w:spacing w:val="24"/>
          <w:sz w:val="15"/>
          <w:szCs w:val="15"/>
        </w:rPr>
        <w:t xml:space="preserve">INTERNAL SERVICES PLAYBOOK  ·  B-01</w:t>
      </w:r>
    </w:p>
    <w:p>
      <w:pPr>
        <w:spacing w:after="60" w:before="40"/>
      </w:pPr>
      <w:r>
        <w:rPr>
          <w:rFonts w:ascii="JetBrains Mono" w:cs="JetBrains Mono" w:eastAsia="JetBrains Mono" w:hAnsi="JetBrains Mono"/>
          <w:color w:val="A8341F"/>
          <w:spacing w:val="24"/>
          <w:sz w:val="16"/>
          <w:szCs w:val="16"/>
        </w:rPr>
        <w:t xml:space="preserve">AREA B  /  COMPLIANCE, FILED ON TIME</w:t>
      </w:r>
    </w:p>
    <w:p>
      <w:pPr>
        <w:spacing w:after="140" w:before="60"/>
      </w:pPr>
      <w:r>
        <w:rPr>
          <w:rFonts w:ascii="Fraunces" w:cs="Fraunces" w:eastAsia="Fraunces" w:hAnsi="Fraunces"/>
          <w:b w:val="false"/>
          <w:bCs w:val="false"/>
          <w:i w:val="false"/>
          <w:iCs w:val="false"/>
          <w:color w:val="1A1814"/>
          <w:sz w:val="30"/>
          <w:szCs w:val="30"/>
        </w:rPr>
        <w:t xml:space="preserve">ZATCA Phase 2 </w:t>
      </w:r>
      <w:r>
        <w:rPr>
          <w:rFonts w:ascii="Fraunces" w:cs="Fraunces" w:eastAsia="Fraunces" w:hAnsi="Fraunces"/>
          <w:b w:val="false"/>
          <w:bCs w:val="false"/>
          <w:i/>
          <w:iCs/>
          <w:color w:val="A8341F"/>
          <w:sz w:val="30"/>
          <w:szCs w:val="30"/>
        </w:rPr>
        <w:t xml:space="preserve">Readiness.</w:t>
      </w:r>
    </w:p>
    <w:p>
      <w:pPr>
        <w:spacing w:after="120" w:line="300"/>
        <w:jc w:val="left"/>
      </w:pPr>
      <w:r>
        <w:rPr>
          <w:rFonts w:ascii="Fraunces" w:cs="Fraunces" w:eastAsia="Fraunces" w:hAnsi="Fraunces"/>
          <w:b w:val="false"/>
          <w:bCs w:val="false"/>
          <w:i/>
          <w:iCs/>
          <w:color w:val="A8341F"/>
          <w:sz w:val="21"/>
          <w:szCs w:val="21"/>
        </w:rPr>
        <w:t xml:space="preserve">Wave 24 (SAR 375k threshold, 30 June 2026 go-live) or Wave 23 remediation. Vendor selection, CSID onboarding, sandbox, parallel run, cutover.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2C6" w:sz="2"/>
              <w:left w:val="none"/>
              <w:bottom w:val="single" w:color="D8D2C6" w:sz="2"/>
              <w:right w:val="none"/>
            </w:tcBorders>
            <w:shd w:fill="1A1814" w:color="auto" w:val="clear"/>
            <w:tcMar>
              <w:top w:type="dxa" w:w="80"/>
              <w:left w:type="dxa" w:w="130"/>
              <w:bottom w:type="dxa" w:w="80"/>
              <w:right w:type="dxa" w:w="130"/>
            </w:tcMar>
            <w:vAlign w:val="center"/>
          </w:tcPr>
          <w:p>
            <w:pPr>
              <w:spacing w:after="0" w:line="268"/>
            </w:pPr>
            <w:r>
              <w:rPr>
                <w:rFonts w:ascii="JetBrains Mono" w:cs="JetBrains Mono" w:eastAsia="JetBrains Mono" w:hAnsi="JetBrains Mono"/>
                <w:b/>
                <w:bCs/>
                <w:color w:val="F4F1EA"/>
                <w:spacing w:val="18"/>
                <w:sz w:val="15"/>
                <w:szCs w:val="15"/>
              </w:rPr>
              <w:t xml:space="preserve">OUTCOME</w:t>
            </w:r>
          </w:p>
        </w:tc>
        <w:tc>
          <w:tcPr>
            <w:tcW w:type="dxa" w:w="6360"/>
            <w:tcBorders>
              <w:top w:val="single" w:color="D8D2C6" w:sz="2"/>
              <w:left w:val="none"/>
              <w:bottom w:val="single" w:color="D8D2C6" w:sz="2"/>
              <w:right w:val="none"/>
            </w:tcBorders>
            <w:shd w:fill="1A1814" w:color="auto" w:val="clear"/>
            <w:tcMar>
              <w:top w:type="dxa" w:w="80"/>
              <w:left w:type="dxa" w:w="130"/>
              <w:bottom w:type="dxa" w:w="80"/>
              <w:right w:type="dxa" w:w="130"/>
            </w:tcMar>
            <w:vAlign w:val="center"/>
          </w:tcPr>
          <w:p>
            <w:pPr>
              <w:spacing w:after="0" w:line="268"/>
            </w:pPr>
            <w:r>
              <w:rPr>
                <w:rFonts w:ascii="JetBrains Mono" w:cs="JetBrains Mono" w:eastAsia="JetBrains Mono" w:hAnsi="JetBrains Mono"/>
                <w:b/>
                <w:bCs/>
                <w:color w:val="F4F1EA"/>
                <w:spacing w:val="18"/>
                <w:sz w:val="15"/>
                <w:szCs w:val="15"/>
              </w:rPr>
              <w:t xml:space="preserve">ZATCA Phase 2 integrated in six weeks.</w:t>
            </w:r>
          </w:p>
        </w:tc>
      </w:tr>
      <w:tr>
        <w:trPr>
          <w:tblHeader w:val="false"/>
        </w:trPr>
        <w:tc>
          <w:tcPr>
            <w:tcW w:type="dxa" w:w="300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FEE</w:t>
            </w:r>
          </w:p>
        </w:tc>
        <w:tc>
          <w:tcPr>
            <w:tcW w:type="dxa" w:w="636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SAR 12,000–35,000 · USD 3,200–9,300</w:t>
            </w:r>
          </w:p>
        </w:tc>
      </w:tr>
      <w:tr>
        <w:trPr>
          <w:tblHeader w:val="false"/>
        </w:trPr>
        <w:tc>
          <w:tcPr>
            <w:tcW w:type="dxa" w:w="3000"/>
            <w:tcBorders>
              <w:top w:val="single" w:color="D8D2C6" w:sz="2"/>
              <w:left w:val="none"/>
              <w:bottom w:val="single" w:color="D8D2C6" w:sz="2"/>
              <w:right w:val="none"/>
            </w:tcBorders>
            <w:shd w:fill="EBE6DA" w:color="auto" w:val="clear"/>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TIMELINE</w:t>
            </w:r>
          </w:p>
        </w:tc>
        <w:tc>
          <w:tcPr>
            <w:tcW w:type="dxa" w:w="6360"/>
            <w:tcBorders>
              <w:top w:val="single" w:color="D8D2C6" w:sz="2"/>
              <w:left w:val="none"/>
              <w:bottom w:val="single" w:color="D8D2C6" w:sz="2"/>
              <w:right w:val="none"/>
            </w:tcBorders>
            <w:shd w:fill="EBE6DA" w:color="auto" w:val="clear"/>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4–6 weeks</w:t>
            </w:r>
          </w:p>
        </w:tc>
      </w:tr>
      <w:tr>
        <w:trPr>
          <w:tblHeader w:val="false"/>
        </w:trPr>
        <w:tc>
          <w:tcPr>
            <w:tcW w:type="dxa" w:w="300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CODE</w:t>
            </w:r>
          </w:p>
        </w:tc>
        <w:tc>
          <w:tcPr>
            <w:tcW w:type="dxa" w:w="636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B-01</w:t>
            </w:r>
          </w:p>
        </w:tc>
      </w:tr>
    </w:tbl>
    <w:p>
      <w:pPr>
        <w:spacing w:after="80"/>
      </w:pPr>
      <w:r>
        <w:rPr>
          <w:sz w:val="2"/>
          <w:szCs w:val="2"/>
        </w:rPr>
        <w:t xml:space="preserve"/>
      </w:r>
    </w:p>
    <w:p>
      <w:pPr>
        <w:spacing w:after="80" w:before="60"/>
      </w:pPr>
      <w:r>
        <w:rPr>
          <w:rFonts w:ascii="JetBrains Mono" w:cs="JetBrains Mono" w:eastAsia="JetBrains Mono" w:hAnsi="JetBrains Mono"/>
          <w:color w:val="78726A"/>
          <w:spacing w:val="18"/>
          <w:sz w:val="14"/>
          <w:szCs w:val="14"/>
        </w:rPr>
        <w:t xml:space="preserve">AHMAD AL HINAITI  ·  AMMAN 2026  ·  NOT FOR EXTERNAL DISTRIBUTION</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01  /  DEFINITION</w:t>
      </w:r>
    </w:p>
    <w:p>
      <w:pPr>
        <w:spacing w:after="120" w:before="40"/>
      </w:pPr>
      <w:r>
        <w:rPr>
          <w:rFonts w:ascii="Fraunces" w:cs="Fraunces" w:eastAsia="Fraunces" w:hAnsi="Fraunces"/>
          <w:b w:val="false"/>
          <w:bCs w:val="false"/>
          <w:i w:val="false"/>
          <w:iCs w:val="false"/>
          <w:color w:val="78726A"/>
          <w:sz w:val="21"/>
          <w:szCs w:val="21"/>
        </w:rPr>
        <w:t xml:space="preserve">What this service </w:t>
      </w:r>
      <w:r>
        <w:rPr>
          <w:rFonts w:ascii="Fraunces" w:cs="Fraunces" w:eastAsia="Fraunces" w:hAnsi="Fraunces"/>
          <w:b w:val="false"/>
          <w:bCs w:val="false"/>
          <w:i/>
          <w:iCs/>
          <w:color w:val="A8341F"/>
          <w:sz w:val="21"/>
          <w:szCs w:val="21"/>
        </w:rPr>
        <w:t xml:space="preserve">is.</w:t>
      </w:r>
    </w:p>
    <w:p>
      <w:pPr>
        <w:spacing w:after="120" w:line="300"/>
        <w:jc w:val="left"/>
      </w:pPr>
      <w:r>
        <w:rPr>
          <w:rFonts w:ascii="Fraunces" w:cs="Fraunces" w:eastAsia="Fraunces" w:hAnsi="Fraunces"/>
          <w:b w:val="false"/>
          <w:bCs w:val="false"/>
          <w:i w:val="false"/>
          <w:iCs w:val="false"/>
          <w:color w:val="1A1814"/>
          <w:sz w:val="21"/>
          <w:szCs w:val="21"/>
        </w:rPr>
        <w:t xml:space="preserve">A structured implementation of ZATCA Phase 2 e-invoicing — clearance for standard (B2B) invoices and reporting for simplified (B2C) invoices — against the client's actual revenue profile and existing invoicing stack. The engagement covers: scoping, ZATCA-certified vendor selection, CSID onboarding, sandbox testing, parallel run, and production cutover. For Wave 24 clients (SAR 375,000+ revenue threshold, deadline 30 June 2026). For Wave 23 remediation clients (missed 31 March 2026 deadline), the engagement extends to penalty exposure management under the Cancellation of Fines amnesty window. Wave 24 is the latest confirmed wave; no Wave 25 has been announced, so the SAR 375,000 floor is the current bottom of the mandate.</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02  /  WHO BUYS IT</w:t>
      </w:r>
    </w:p>
    <w:p>
      <w:pPr>
        <w:spacing w:after="120" w:before="40"/>
      </w:pPr>
      <w:r>
        <w:rPr>
          <w:rFonts w:ascii="Fraunces" w:cs="Fraunces" w:eastAsia="Fraunces" w:hAnsi="Fraunces"/>
          <w:b w:val="false"/>
          <w:bCs w:val="false"/>
          <w:i w:val="false"/>
          <w:iCs w:val="false"/>
          <w:color w:val="78726A"/>
          <w:sz w:val="21"/>
          <w:szCs w:val="21"/>
        </w:rPr>
        <w:t xml:space="preserve">Trigger events and buyer </w:t>
      </w:r>
      <w:r>
        <w:rPr>
          <w:rFonts w:ascii="Fraunces" w:cs="Fraunces" w:eastAsia="Fraunces" w:hAnsi="Fraunces"/>
          <w:b w:val="false"/>
          <w:bCs w:val="false"/>
          <w:i/>
          <w:iCs/>
          <w:color w:val="A8341F"/>
          <w:sz w:val="21"/>
          <w:szCs w:val="21"/>
        </w:rPr>
        <w:t xml:space="preserve">profile.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Saudi SMEs with VAT-taxable revenue between SAR 375,000 and SAR 750,000 in any of 2022, 2023 or 2024 — the Wave 24 population (deadline 30 June 2026)</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Saudi SMEs between SAR 750,000 and SAR 1,000,000 who missed Wave 23 (31 March 2026) — remediation with amnesty-window penalty management. Higher-revenue businesses sit in earlier, already-passed waves and are also remediation candidates: Wave 22 above SAR 1,000,000 (31 December 2025) and Wave 21 above SAR 1,250,000 (30 November 2025)</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Multi-location retailers, F&amp;B operators, and professional services firms that have deferred Phase 2 pending vendor clarity</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Family groups whose accountant has been quoting SAR 150,000+ for Phase 2 implementation and the founder suspects it should cost less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SMEs whose ERP vendor has not shipped a certified Phase 2 module and needs a middleware decision</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03  /  WHAT'S INCLUDED</w:t>
      </w:r>
    </w:p>
    <w:p>
      <w:pPr>
        <w:spacing w:after="120" w:before="40"/>
      </w:pPr>
      <w:r>
        <w:rPr>
          <w:rFonts w:ascii="Fraunces" w:cs="Fraunces" w:eastAsia="Fraunces" w:hAnsi="Fraunces"/>
          <w:b w:val="false"/>
          <w:bCs w:val="false"/>
          <w:i w:val="false"/>
          <w:iCs w:val="false"/>
          <w:color w:val="78726A"/>
          <w:sz w:val="21"/>
          <w:szCs w:val="21"/>
        </w:rPr>
        <w:t xml:space="preserve">The specific deliverables </w:t>
      </w:r>
      <w:r>
        <w:rPr>
          <w:rFonts w:ascii="Fraunces" w:cs="Fraunces" w:eastAsia="Fraunces" w:hAnsi="Fraunces"/>
          <w:b w:val="false"/>
          <w:bCs w:val="false"/>
          <w:i/>
          <w:iCs/>
          <w:color w:val="A8341F"/>
          <w:sz w:val="21"/>
          <w:szCs w:val="21"/>
        </w:rPr>
        <w:t xml:space="preserve">list.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Revenue-threshold assessment: review 2022–24 VAT returns to confirm wave classification</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Invoicing-touchpoint mapping: POS, e-commerce platform, manual invoicing, self-billing flows, credit/debit notes, foreign-currency invoices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Vendor selection memo: comparison of ZATCA-certified options fit to the client's stack (Zoho Books, Wafeq, Qoyod, Daftra, Foodics, Salla, Zid, ERP vendor module)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CSID onboarding: Compliance CSID generation for sandbox, Production CSID generation for go-live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Sandbox testing: three mandatory test flows (Standard Tax Invoice, Simplified Tax Invoice, credit note referencing a cleared invoice) documented with screenshots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Parallel run: 10–15 production invoices run in parallel against the pre-Phase-2 flow, with daily clearance log reconciliation</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Cutover playbook: go-live date, rollback plan, 24-hour B2C offline contingency, CSID renewal calendar</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Handover documentation: step-by-step runbook for the client's finance team so they can maintain the flow without us</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04  /  WHAT'S EXCLUDED</w:t>
      </w:r>
    </w:p>
    <w:p>
      <w:pPr>
        <w:spacing w:after="120" w:before="40"/>
      </w:pPr>
      <w:r>
        <w:rPr>
          <w:rFonts w:ascii="Fraunces" w:cs="Fraunces" w:eastAsia="Fraunces" w:hAnsi="Fraunces"/>
          <w:b w:val="false"/>
          <w:bCs w:val="false"/>
          <w:i w:val="false"/>
          <w:iCs w:val="false"/>
          <w:color w:val="78726A"/>
          <w:sz w:val="21"/>
          <w:szCs w:val="21"/>
        </w:rPr>
        <w:t xml:space="preserve">The scope-creep </w:t>
      </w:r>
      <w:r>
        <w:rPr>
          <w:rFonts w:ascii="Fraunces" w:cs="Fraunces" w:eastAsia="Fraunces" w:hAnsi="Fraunces"/>
          <w:b w:val="false"/>
          <w:bCs w:val="false"/>
          <w:i/>
          <w:iCs/>
          <w:color w:val="A8341F"/>
          <w:sz w:val="21"/>
          <w:szCs w:val="21"/>
        </w:rPr>
        <w:t xml:space="preserve">guard.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Software licence costs — the client purchases the ZATCA-certified solution directly</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Custom code development or middleware build — we configure existing certified SaaS; we do not write integrations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ERP migration or upgrade — if the ERP cannot support Phase 2 without replacement, the scope changes materially</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Ongoing VAT return preparation or filing — separate engagement or referral</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Representation before ZATCA on penalty appeals — client arranges a licensed ZATCA representative if penalty exposure is material</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05  /  DELIVERY METHODOLOGY</w:t>
      </w:r>
    </w:p>
    <w:p>
      <w:pPr>
        <w:spacing w:after="120" w:before="40"/>
      </w:pPr>
      <w:r>
        <w:rPr>
          <w:rFonts w:ascii="Fraunces" w:cs="Fraunces" w:eastAsia="Fraunces" w:hAnsi="Fraunces"/>
          <w:b w:val="false"/>
          <w:bCs w:val="false"/>
          <w:i w:val="false"/>
          <w:iCs w:val="false"/>
          <w:color w:val="78726A"/>
          <w:sz w:val="21"/>
          <w:szCs w:val="21"/>
        </w:rPr>
        <w:t xml:space="preserve">Week-by-week work </w:t>
      </w:r>
      <w:r>
        <w:rPr>
          <w:rFonts w:ascii="Fraunces" w:cs="Fraunces" w:eastAsia="Fraunces" w:hAnsi="Fraunces"/>
          <w:b w:val="false"/>
          <w:bCs w:val="false"/>
          <w:i/>
          <w:iCs/>
          <w:color w:val="A8341F"/>
          <w:sz w:val="21"/>
          <w:szCs w:val="21"/>
        </w:rPr>
        <w:t xml:space="preserve">plan.</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1 — Scoping. VAT return review, wave classification confirmed, invoicing touchpoints mapped. Engagement letter finalised against actual scope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2 — Vendor selection and procurement. Comparison memo delivered to client; client selects vendor and procures licence. Sandbox credentials obtained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3 — Sandbox configuration. Three mandatory test flows executed and documented. Hash chain, QR code generation, CSID integration verified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4 — Production CSID onboarded. Server IPs whitelisted. Parallel run begins. Daily clearance log review</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5 — Parallel run continues; 10–15 invoices validated in production against pre-Phase-2 flow. Issues remediated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6 — Cutover. Pre-Phase-2 flow decommissioned. CSID renewal calendar installed. Handover runbook delivered. Client's finance team trained in the runbook</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06  /  FEE LOGIC</w:t>
      </w:r>
    </w:p>
    <w:p>
      <w:pPr>
        <w:spacing w:after="120" w:before="40"/>
      </w:pPr>
      <w:r>
        <w:rPr>
          <w:rFonts w:ascii="Fraunces" w:cs="Fraunces" w:eastAsia="Fraunces" w:hAnsi="Fraunces"/>
          <w:b w:val="false"/>
          <w:bCs w:val="false"/>
          <w:i w:val="false"/>
          <w:iCs w:val="false"/>
          <w:color w:val="78726A"/>
          <w:sz w:val="21"/>
          <w:szCs w:val="21"/>
        </w:rPr>
        <w:t xml:space="preserve">How the price is </w:t>
      </w:r>
      <w:r>
        <w:rPr>
          <w:rFonts w:ascii="Fraunces" w:cs="Fraunces" w:eastAsia="Fraunces" w:hAnsi="Fraunces"/>
          <w:b w:val="false"/>
          <w:bCs w:val="false"/>
          <w:i/>
          <w:iCs/>
          <w:color w:val="A8341F"/>
          <w:sz w:val="21"/>
          <w:szCs w:val="21"/>
        </w:rPr>
        <w:t xml:space="preserve">set.</w:t>
      </w:r>
    </w:p>
    <w:p>
      <w:pPr>
        <w:spacing w:after="120" w:line="300"/>
        <w:jc w:val="left"/>
      </w:pPr>
      <w:r>
        <w:rPr>
          <w:rFonts w:ascii="Fraunces" w:cs="Fraunces" w:eastAsia="Fraunces" w:hAnsi="Fraunces"/>
          <w:b w:val="false"/>
          <w:bCs w:val="false"/>
          <w:i w:val="false"/>
          <w:iCs w:val="false"/>
          <w:color w:val="1A1814"/>
          <w:sz w:val="21"/>
          <w:szCs w:val="21"/>
        </w:rPr>
        <w:t xml:space="preserve">Wave 24 single-location SME with simple B2B/B2C flow, native SaaS backend: SAR 12,000. Wave 24 multi-location or complex flow (self-billing, multi-currency): SAR 18,000–22,000. Wave 23 remediation with penalty exposure management: SAR 25,000–35,000 premium for urgency. Above SAR 1,000,000 revenue or enterprise ERP integration: quoted bespoke after scoping, or refer out to ZATCA-certified solution integrator.</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07  /  RISK FLAGS</w:t>
      </w:r>
    </w:p>
    <w:p>
      <w:pPr>
        <w:spacing w:after="120" w:before="40"/>
      </w:pPr>
      <w:r>
        <w:rPr>
          <w:rFonts w:ascii="Fraunces" w:cs="Fraunces" w:eastAsia="Fraunces" w:hAnsi="Fraunces"/>
          <w:b w:val="false"/>
          <w:bCs w:val="false"/>
          <w:i w:val="false"/>
          <w:iCs w:val="false"/>
          <w:color w:val="78726A"/>
          <w:sz w:val="21"/>
          <w:szCs w:val="21"/>
        </w:rPr>
        <w:t xml:space="preserve">What can go wrong, how to </w:t>
      </w:r>
      <w:r>
        <w:rPr>
          <w:rFonts w:ascii="Fraunces" w:cs="Fraunces" w:eastAsia="Fraunces" w:hAnsi="Fraunces"/>
          <w:b w:val="false"/>
          <w:bCs w:val="false"/>
          <w:i/>
          <w:iCs/>
          <w:color w:val="A8341F"/>
          <w:sz w:val="21"/>
          <w:szCs w:val="21"/>
        </w:rPr>
        <w:t xml:space="preserve">handle it.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Vendor upsell pressure: implementation partners pushing middleware when native SaaS suffices — remain independent, recommend the minimum viable stack</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Client's ERP is unsupported legacy (SAP ECC 6 EHP&lt;8, Dynamics AX 2012) — the scope changes from Phase 2 readiness to ERP upgrade. Raise change order or refer out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CSID expiry blindspot: most failures happen on CSID renewal, not on initial go-live. Calendar reminder installed at handover is a hard requirement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Client delays vendor procurement — every day slipped in Week 2 compresses the parallel run. Set written deadlines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Client expects us to represent them at ZATCA if penalties are raised — clarify at engagement letter that we are not licensed ZATCA representatives</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08  /  REFERRAL-OUT PROTOCOL</w:t>
      </w:r>
    </w:p>
    <w:p>
      <w:pPr>
        <w:spacing w:after="120" w:before="40"/>
      </w:pPr>
      <w:r>
        <w:rPr>
          <w:rFonts w:ascii="Fraunces" w:cs="Fraunces" w:eastAsia="Fraunces" w:hAnsi="Fraunces"/>
          <w:b w:val="false"/>
          <w:bCs w:val="false"/>
          <w:i w:val="false"/>
          <w:iCs w:val="false"/>
          <w:color w:val="78726A"/>
          <w:sz w:val="21"/>
          <w:szCs w:val="21"/>
        </w:rPr>
        <w:t xml:space="preserve">If it is not a fit, where to </w:t>
      </w:r>
      <w:r>
        <w:rPr>
          <w:rFonts w:ascii="Fraunces" w:cs="Fraunces" w:eastAsia="Fraunces" w:hAnsi="Fraunces"/>
          <w:b w:val="false"/>
          <w:bCs w:val="false"/>
          <w:i/>
          <w:iCs/>
          <w:color w:val="A8341F"/>
          <w:sz w:val="21"/>
          <w:szCs w:val="21"/>
        </w:rPr>
        <w:t xml:space="preserve">send them.</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If the client needs custom middleware (self-billing at volume, multi-ERP consolidation) → refer to InvoiceQ, ClearTax SA, or ecosio</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If the client needs a ZATCA-certified representative for a penalty appeal → refer to a licensed tax firm</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If the client's real problem is their underlying ERP, not Phase 2 → refer to an ERP implementation partner; come back to us after the ERP is in place</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09  /  A NOTE ON DELIVERY</w:t>
      </w:r>
    </w:p>
    <w:p>
      <w:pPr>
        <w:spacing w:after="120" w:before="40"/>
      </w:pPr>
      <w:r>
        <w:rPr>
          <w:rFonts w:ascii="Fraunces" w:cs="Fraunces" w:eastAsia="Fraunces" w:hAnsi="Fraunces"/>
          <w:b w:val="false"/>
          <w:bCs w:val="false"/>
          <w:i w:val="false"/>
          <w:iCs w:val="false"/>
          <w:color w:val="78726A"/>
          <w:sz w:val="21"/>
          <w:szCs w:val="21"/>
        </w:rPr>
        <w:t xml:space="preserve">The standard, not the </w:t>
      </w:r>
      <w:r>
        <w:rPr>
          <w:rFonts w:ascii="Fraunces" w:cs="Fraunces" w:eastAsia="Fraunces" w:hAnsi="Fraunces"/>
          <w:b w:val="false"/>
          <w:bCs w:val="false"/>
          <w:i/>
          <w:iCs/>
          <w:color w:val="A8341F"/>
          <w:sz w:val="21"/>
          <w:szCs w:val="21"/>
        </w:rP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8D2C6" w:sz="2"/>
              <w:left w:val="none"/>
              <w:bottom w:val="single" w:color="D8D2C6" w:sz="2"/>
              <w:right w:val="none"/>
            </w:tcBorders>
            <w:shd w:fill="1A1814" w:color="auto" w:val="clear"/>
            <w:tcMar>
              <w:top w:type="dxa" w:w="80"/>
              <w:left w:type="dxa" w:w="130"/>
              <w:bottom w:type="dxa" w:w="80"/>
              <w:right w:type="dxa" w:w="130"/>
            </w:tcMar>
            <w:vAlign w:val="center"/>
          </w:tcPr>
          <w:p>
            <w:pPr>
              <w:spacing w:after="0" w:line="268"/>
            </w:pPr>
            <w:r>
              <w:rPr>
                <w:rFonts w:ascii="JetBrains Mono" w:cs="JetBrains Mono" w:eastAsia="JetBrains Mono" w:hAnsi="JetBrains Mono"/>
                <w:b/>
                <w:bCs/>
                <w:color w:val="F4F1EA"/>
                <w:spacing w:val="18"/>
                <w:sz w:val="15"/>
                <w:szCs w:val="15"/>
              </w:rPr>
              <w:t xml:space="preserve">A NOTE ON DELIVERY *This is the practice's highest-volume, highest-urgency service for Q2 2026. Wave 24 go-live is 30 June. Every working day between now and then is a Saudi SME running late. Price to move volume at the SME tier; resist scope expansion into middleware territory. The Daftar №001 is the demand-generation engine for this service — publish it, and inbound follows.*</w:t>
            </w:r>
          </w:p>
        </w:tc>
      </w:tr>
    </w:tbl>
    <w:p>
      <w:pPr>
        <w:spacing w:after="80"/>
      </w:pPr>
      <w:r>
        <w:rPr>
          <w:sz w:val="2"/>
          <w:szCs w:val="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6" w:sz="4" w:space="6"/>
      </w:pBdr>
      <w:tabs>
        <w:tab w:val="right" w:pos="9360"/>
      </w:tabs>
    </w:pPr>
    <w:r>
      <w:rPr>
        <w:rFonts w:ascii="JetBrains Mono" w:cs="JetBrains Mono" w:eastAsia="JetBrains Mono" w:hAnsi="JetBrains Mono"/>
        <w:color w:val="78726A"/>
        <w:spacing w:val="20"/>
        <w:sz w:val="13"/>
        <w:szCs w:val="13"/>
      </w:rPr>
      <w:t xml:space="preserve">INTERNAL  ·  AHMAD AL HINAITI</w:t>
    </w:r>
    <w:r>
      <w:rPr>
        <w:rFonts w:ascii="JetBrains Mono" w:cs="JetBrains Mono" w:eastAsia="JetBrains Mono" w:hAnsi="JetBrains Mono"/>
        <w:color w:val="78726A"/>
        <w:sz w:val="13"/>
        <w:szCs w:val="13"/>
      </w:rPr>
      <w:t xml:space="preserve">	</w:t>
    </w:r>
    <w:r>
      <w:rPr>
        <w:rFonts w:ascii="JetBrains Mono" w:cs="JetBrains Mono" w:eastAsia="JetBrains Mono" w:hAnsi="JetBrains Mono"/>
        <w:color w:val="78726A"/>
        <w:spacing w:val="20"/>
        <w:sz w:val="13"/>
        <w:szCs w:val="13"/>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6" w:sz="4" w:space="6"/>
      </w:pBdr>
      <w:tabs>
        <w:tab w:val="right" w:pos="9360"/>
      </w:tabs>
    </w:pPr>
    <w:r>
      <w:rPr>
        <w:rFonts w:ascii="JetBrains Mono" w:cs="JetBrains Mono" w:eastAsia="JetBrains Mono" w:hAnsi="JetBrains Mono"/>
        <w:color w:val="78726A"/>
        <w:spacing w:val="20"/>
        <w:sz w:val="13"/>
        <w:szCs w:val="13"/>
      </w:rPr>
      <w:t xml:space="preserve">DAFTAR  ·  ADVISORY</w:t>
    </w:r>
    <w:r>
      <w:rPr>
        <w:rFonts w:ascii="JetBrains Mono" w:cs="JetBrains Mono" w:eastAsia="JetBrains Mono" w:hAnsi="JetBrains Mono"/>
        <w:color w:val="78726A"/>
        <w:spacing w:val="20"/>
        <w:sz w:val="13"/>
        <w:szCs w:val="13"/>
      </w:rPr>
      <w:t xml:space="preserve">	B-01  ·  ZATCA PHASE 2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unces" w:cs="Fraunces" w:eastAsia="Fraunces" w:hAnsi="Fraunces"/>
        <w:color w:val="1A18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Daftar_Services_B01_ZATCA_Phase2_Readiness</dc:title>
  <dc:creator>Daftar Advisory</dc:creator>
  <cp:lastModifiedBy>Un-named</cp:lastModifiedBy>
  <cp:revision>1</cp:revision>
  <dcterms:created xsi:type="dcterms:W3CDTF">2026-06-01T23:25:36.611Z</dcterms:created>
  <dcterms:modified xsi:type="dcterms:W3CDTF">2026-06-01T23:25:36.611Z</dcterms:modified>
</cp:coreProperties>
</file>

<file path=docProps/custom.xml><?xml version="1.0" encoding="utf-8"?>
<Properties xmlns="http://schemas.openxmlformats.org/officeDocument/2006/custom-properties" xmlns:vt="http://schemas.openxmlformats.org/officeDocument/2006/docPropsVTypes"/>
</file>