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4F1EA"/>
  <w:body>
    <w:p>
      <w:pPr>
        <w:pBdr>
          <w:bottom w:val="single" w:color="A8341F" w:sz="16" w:space="4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120" w:before="140"/>
      </w:pPr>
      <w:r>
        <w:rPr>
          <w:rFonts w:ascii="Fraunces" w:cs="Fraunces" w:eastAsia="Fraunces" w:hAnsi="Fraunces"/>
          <w:color w:val="1A1814"/>
          <w:sz w:val="30"/>
          <w:szCs w:val="30"/>
        </w:rPr>
        <w:t xml:space="preserve">Daftar </w:t>
      </w:r>
      <w:r>
        <w:rPr>
          <w:rFonts w:ascii="Fraunces" w:cs="Fraunces" w:eastAsia="Fraunces" w:hAnsi="Fraunces"/>
          <w:i/>
          <w:iCs/>
          <w:color w:val="A8341F"/>
          <w:sz w:val="30"/>
          <w:szCs w:val="30"/>
        </w:rPr>
        <w:t xml:space="preserve">Advisory</w:t>
      </w:r>
      <w:r>
        <w:rPr>
          <w:rFonts w:ascii="Fraunces" w:cs="Fraunces" w:eastAsia="Fraunces" w:hAnsi="Fraunces"/>
          <w:i/>
          <w:iCs/>
          <w:color w:val="A8341F"/>
          <w:sz w:val="30"/>
          <w:szCs w:val="30"/>
        </w:rPr>
        <w:t xml:space="preserve">.</w:t>
      </w:r>
    </w:p>
    <w:p>
      <w:pPr>
        <w:spacing w:after="40" w:before="80"/>
      </w:pPr>
      <w:r>
        <w:rPr>
          <w:rFonts w:ascii="JetBrains Mono" w:cs="JetBrains Mono" w:eastAsia="JetBrains Mono" w:hAnsi="JetBrains Mono"/>
          <w:color w:val="78726A"/>
          <w:spacing w:val="24"/>
          <w:sz w:val="15"/>
          <w:szCs w:val="15"/>
        </w:rPr>
        <w:t xml:space="preserve">INTERNAL SERVICES PLAYBOOK  ·  C-02</w:t>
      </w:r>
    </w:p>
    <w:p>
      <w:pPr>
        <w:spacing w:after="60" w:before="40"/>
      </w:pPr>
      <w:r>
        <w:rPr>
          <w:rFonts w:ascii="JetBrains Mono" w:cs="JetBrains Mono" w:eastAsia="JetBrains Mono" w:hAnsi="JetBrains Mono"/>
          <w:color w:val="A8341F"/>
          <w:spacing w:val="24"/>
          <w:sz w:val="16"/>
          <w:szCs w:val="16"/>
        </w:rPr>
        <w:t xml:space="preserve">AREA C  /  INVESTMENT DECISIONS</w:t>
      </w:r>
    </w:p>
    <w:p>
      <w:pPr>
        <w:spacing w:after="140" w:before="6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30"/>
          <w:szCs w:val="30"/>
        </w:rPr>
        <w:t xml:space="preserve">Nomu Readiness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30"/>
          <w:szCs w:val="30"/>
        </w:rPr>
        <w:t xml:space="preserve">Diagnostic.</w:t>
      </w:r>
    </w:p>
    <w:p>
      <w:pPr>
        <w:spacing w:after="120" w:line="300"/>
        <w:jc w:val="left"/>
      </w:pP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For SAR 30–80M SMEs with 12–24 months to a Nomu listing. IFRS, governance, MIS, and disclosure-readiness gap — documented with a remediation runway.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1A181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JetBrains Mono" w:cs="JetBrains Mono" w:eastAsia="JetBrains Mono" w:hAnsi="JetBrains Mono"/>
                <w:b/>
                <w:bCs/>
                <w:color w:val="F4F1EA"/>
                <w:spacing w:val="18"/>
                <w:sz w:val="15"/>
                <w:szCs w:val="15"/>
              </w:rPr>
              <w:t xml:space="preserve">OUTCOME</w:t>
            </w:r>
          </w:p>
        </w:tc>
        <w:tc>
          <w:tcPr>
            <w:tcW w:type="dxa" w:w="63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1A181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JetBrains Mono" w:cs="JetBrains Mono" w:eastAsia="JetBrains Mono" w:hAnsi="JetBrains Mono"/>
                <w:b/>
                <w:bCs/>
                <w:color w:val="F4F1EA"/>
                <w:spacing w:val="18"/>
                <w:sz w:val="15"/>
                <w:szCs w:val="15"/>
              </w:rPr>
              <w:t xml:space="preserve">A Nomu readiness diagnostic before you hire the adviser.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FEE</w:t>
            </w:r>
          </w:p>
        </w:tc>
        <w:tc>
          <w:tcPr>
            <w:tcW w:type="dxa" w:w="63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USD 12,000–22,000 · SAR 45,000–82,500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4–6 weeks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CODE</w:t>
            </w:r>
          </w:p>
        </w:tc>
        <w:tc>
          <w:tcPr>
            <w:tcW w:type="dxa" w:w="63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C-02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spacing w:after="80" w:before="60"/>
      </w:pPr>
      <w:r>
        <w:rPr>
          <w:rFonts w:ascii="JetBrains Mono" w:cs="JetBrains Mono" w:eastAsia="JetBrains Mono" w:hAnsi="JetBrains Mono"/>
          <w:color w:val="78726A"/>
          <w:spacing w:val="18"/>
          <w:sz w:val="14"/>
          <w:szCs w:val="14"/>
        </w:rPr>
        <w:t xml:space="preserve">AHMAD AL HINAITI  ·  AMMAN 2026  ·  NOT FOR EXTERNAL DISTRIBUTION</w:t>
      </w:r>
    </w:p>
    <w:p>
      <w:pPr>
        <w:pBdr>
          <w:bottom w:val="single" w:color="1A1814" w:sz="6" w:space="6"/>
        </w:pBdr>
        <w:spacing w:after="60" w:before="300"/>
      </w:pPr>
      <w:r>
        <w:rPr>
          <w:rFonts w:ascii="JetBrains Mono" w:cs="JetBrains Mono" w:eastAsia="JetBrains Mono" w:hAnsi="JetBrains Mono"/>
          <w:color w:val="A8341F"/>
          <w:spacing w:val="28"/>
          <w:sz w:val="17"/>
          <w:szCs w:val="17"/>
        </w:rPr>
        <w:t xml:space="preserve">01  /  DEFINITION</w:t>
      </w:r>
    </w:p>
    <w:p>
      <w:pPr>
        <w:spacing w:after="12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What this service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is.</w:t>
      </w:r>
    </w:p>
    <w:p>
      <w:pPr>
        <w:spacing w:after="120" w:line="300"/>
        <w:jc w:val="left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A pre-adviser diagnostic for Saudi SMEs contemplating a Nomu parallel-market listing within the next 12 to 24 months. Evaluates the company's current state across four dimensions: IFRS compliance and technical accounting positions, corporate governance and board structure, management information systems and close quality, and disclosure-readiness against CMA requirements. It also screens the company against the current Saudi Exchange Nomu eligibility criteria — market value, float, shareholder count, lock-up, and qualified-investor distribution — because the binding listing test is market value, not revenue, and a company can clear the revenue band while failing the structural one. Produces a gap report with a prioritised remediation runway. Explicitly not a substitute for a CMA-licensed financial adviser — the diagnostic is the bridge that gets the company ready to hire one.</w:t>
      </w:r>
    </w:p>
    <w:p>
      <w:pPr>
        <w:pBdr>
          <w:bottom w:val="single" w:color="1A1814" w:sz="6" w:space="6"/>
        </w:pBdr>
        <w:spacing w:after="60" w:before="300"/>
      </w:pPr>
      <w:r>
        <w:rPr>
          <w:rFonts w:ascii="JetBrains Mono" w:cs="JetBrains Mono" w:eastAsia="JetBrains Mono" w:hAnsi="JetBrains Mono"/>
          <w:color w:val="A8341F"/>
          <w:spacing w:val="28"/>
          <w:sz w:val="17"/>
          <w:szCs w:val="17"/>
        </w:rPr>
        <w:t xml:space="preserve">02  /  WHO BUYS IT</w:t>
      </w:r>
    </w:p>
    <w:p>
      <w:pPr>
        <w:spacing w:after="12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Trigger events and buyer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profile.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Saudi founders whose company has reached SAR 30–80M revenue and is considering a Nomu listing in the next 12–24 months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Family-office boards evaluating whether a family business is ready for the CMA filing process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Private-equity portfolio companies where the exit strategy includes a Nomu listing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Pre-IPO advisers (financial advisers, sponsors) who have identified material gaps in a client's readiness and need a structured remediation partner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Companies that have received a 'not yet ready' signal from a financial adviser and want a specific roadmap to address it</w:t>
      </w:r>
    </w:p>
    <w:p>
      <w:pPr>
        <w:pBdr>
          <w:bottom w:val="single" w:color="1A1814" w:sz="6" w:space="6"/>
        </w:pBdr>
        <w:spacing w:after="60" w:before="300"/>
      </w:pPr>
      <w:r>
        <w:rPr>
          <w:rFonts w:ascii="JetBrains Mono" w:cs="JetBrains Mono" w:eastAsia="JetBrains Mono" w:hAnsi="JetBrains Mono"/>
          <w:color w:val="A8341F"/>
          <w:spacing w:val="28"/>
          <w:sz w:val="17"/>
          <w:szCs w:val="17"/>
        </w:rPr>
        <w:t xml:space="preserve">03  /  WHAT'S INCLUDED</w:t>
      </w:r>
    </w:p>
    <w:p>
      <w:pPr>
        <w:spacing w:after="12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The specific deliverables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list.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IFRS gap assessment: review of last two years' financial statements against IFRS Accounting Standards as endorsed in Saudi Arabia (full framework); identification of standard applications likely to attract CMA scrutiny — and, for any listing landing in or after FY2027, the IFRS 18 presentation change that replaces IAS 1 from 1 January 2027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Listing-eligibility screen against current Saudi Exchange Nomu criteria — market value, float, public-shareholder count, lock-up, and qualified-investor distribution — with a clear pass/gap call on each: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1A181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JetBrains Mono" w:cs="JetBrains Mono" w:eastAsia="JetBrains Mono" w:hAnsi="JetBrains Mono"/>
                <w:b/>
                <w:bCs/>
                <w:color w:val="F4F1EA"/>
                <w:spacing w:val="18"/>
                <w:sz w:val="15"/>
                <w:szCs w:val="15"/>
              </w:rPr>
              <w:t xml:space="preserve">CRITERION</w:t>
            </w:r>
          </w:p>
        </w:tc>
        <w:tc>
          <w:tcPr>
            <w:tcW w:type="dxa" w:w="63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1A181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JetBrains Mono" w:cs="JetBrains Mono" w:eastAsia="JetBrains Mono" w:hAnsi="JetBrains Mono"/>
                <w:b/>
                <w:bCs/>
                <w:color w:val="F4F1EA"/>
                <w:spacing w:val="18"/>
                <w:sz w:val="15"/>
                <w:szCs w:val="15"/>
              </w:rPr>
              <w:t xml:space="preserve">CURRENT NOMU POSITION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Minimum market value</w:t>
            </w:r>
          </w:p>
        </w:tc>
        <w:tc>
          <w:tcPr>
            <w:tcW w:type="dxa" w:w="63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SAR 50 million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Public float</w:t>
            </w:r>
          </w:p>
        </w:tc>
        <w:tc>
          <w:tcPr>
            <w:tcW w:type="dxa" w:w="63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At least 20% of issued shares, or SAR 50M of shares with at least 10% public ownership at listing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Public shareholders</w:t>
            </w:r>
          </w:p>
        </w:tc>
        <w:tc>
          <w:tcPr>
            <w:tcW w:type="dxa" w:w="63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At least 50 at listing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Investor eligibility</w:t>
            </w:r>
          </w:p>
        </w:tc>
        <w:tc>
          <w:tcPr>
            <w:tcW w:type="dxa" w:w="63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Qualified investors only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Lock-up</w:t>
            </w:r>
          </w:p>
        </w:tc>
        <w:tc>
          <w:tcPr>
            <w:tcW w:type="dxa" w:w="63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100% of major pre-offering shareholders locked up for one year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Operating history</w:t>
            </w:r>
          </w:p>
        </w:tc>
        <w:tc>
          <w:tcPr>
            <w:tcW w:type="dxa" w:w="63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At least one financial year; audited annual FS under SOCPA-endorsed standards; reviewed interims if latest audited FS is over six months old at approval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Profitability</w:t>
            </w:r>
          </w:p>
        </w:tc>
        <w:tc>
          <w:tcPr>
            <w:tcW w:type="dxa" w:w="63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No profitability track record required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Corporate governance review: board composition, committee structure, independent director requirements, related-party transaction governance, internal audit function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MIS and close-quality review: month-end close cycle, MIS architecture, board-pack format, interim-reporting capability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Disclosure-readiness against CMA Nomu requirements: prospectus-style disclosures, pro-forma financials where needed, related-party register, risk-factor inventory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Gap report with every finding categorised by remediation complexity (days / weeks / months)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Prioritised remediation runway: 12-month, 18-month, or 24-month path depending on current state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Indicative fee estimate for downstream engagements: Nomu-specific IFRS restatement, governance implementation, MIS upgrade, adviser-preparation package</w:t>
      </w:r>
    </w:p>
    <w:p>
      <w:pPr>
        <w:pBdr>
          <w:bottom w:val="single" w:color="1A1814" w:sz="6" w:space="6"/>
        </w:pBdr>
        <w:spacing w:after="60" w:before="300"/>
      </w:pPr>
      <w:r>
        <w:rPr>
          <w:rFonts w:ascii="JetBrains Mono" w:cs="JetBrains Mono" w:eastAsia="JetBrains Mono" w:hAnsi="JetBrains Mono"/>
          <w:color w:val="A8341F"/>
          <w:spacing w:val="28"/>
          <w:sz w:val="17"/>
          <w:szCs w:val="17"/>
        </w:rPr>
        <w:t xml:space="preserve">04  /  WHAT'S EXCLUDED</w:t>
      </w:r>
    </w:p>
    <w:p>
      <w:pPr>
        <w:spacing w:after="12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The scope-creep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guard.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Actual financial adviser role — Daftar is not CMA-licensed and does not act as FA, sponsor, or reporting accountant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Prospectus drafting or CMA submission documents — licensed FA does this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Legal due diligence — law firm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IPO execution strategy, timing, valuation, or marketing — the FA's role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Ongoing remediation work itself — scoped separately as engagements under A/01, A/03, or other services depending on what is needed</w:t>
      </w:r>
    </w:p>
    <w:p>
      <w:pPr>
        <w:pBdr>
          <w:bottom w:val="single" w:color="1A1814" w:sz="6" w:space="6"/>
        </w:pBdr>
        <w:spacing w:after="60" w:before="300"/>
      </w:pPr>
      <w:r>
        <w:rPr>
          <w:rFonts w:ascii="JetBrains Mono" w:cs="JetBrains Mono" w:eastAsia="JetBrains Mono" w:hAnsi="JetBrains Mono"/>
          <w:color w:val="A8341F"/>
          <w:spacing w:val="28"/>
          <w:sz w:val="17"/>
          <w:szCs w:val="17"/>
        </w:rPr>
        <w:t xml:space="preserve">05  /  DELIVERY METHODOLOGY</w:t>
      </w:r>
    </w:p>
    <w:p>
      <w:pPr>
        <w:spacing w:after="12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Week-by-week work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plan.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Week 1 — Scoping and document intake. Last two years' audited financials, board minutes, shareholder register, management accounts, organisation chart. Confirm scope and timeline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Week 2 — IFRS review. Technical-accounting positions identified; restatement risks flagged; disclosure gaps mapped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Week 3 — Governance and MIS review. Board meetings, committees, close cycle, MIS architecture. Interviews with CFO, internal audit head (if any), and independent directors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Week 4 — CMA Nomu-requirement alignment and eligibility screen. Disclosure inventory completed; pro-forma triggers identified; market-value, float, shareholder, and lock-up position tested against current Saudi Exchange criteria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Week 5 — Gap report drafted with remediation runway and indicative fee estimates for downstream work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Week 6 — Client presentation to the board or founder. One revision round. Final delivery</w:t>
      </w:r>
    </w:p>
    <w:p>
      <w:pPr>
        <w:pBdr>
          <w:bottom w:val="single" w:color="1A1814" w:sz="6" w:space="6"/>
        </w:pBdr>
        <w:spacing w:after="60" w:before="300"/>
      </w:pPr>
      <w:r>
        <w:rPr>
          <w:rFonts w:ascii="JetBrains Mono" w:cs="JetBrains Mono" w:eastAsia="JetBrains Mono" w:hAnsi="JetBrains Mono"/>
          <w:color w:val="A8341F"/>
          <w:spacing w:val="28"/>
          <w:sz w:val="17"/>
          <w:szCs w:val="17"/>
        </w:rPr>
        <w:t xml:space="preserve">06  /  FEE LOGIC</w:t>
      </w:r>
    </w:p>
    <w:p>
      <w:pPr>
        <w:spacing w:after="12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How the price is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set.</w:t>
      </w:r>
    </w:p>
    <w:p>
      <w:pPr>
        <w:spacing w:after="120" w:line="300"/>
        <w:jc w:val="left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SAR 30–50M revenue, single-entity, clean audit history: USD 12,000. SAR 50–80M revenue, multi-entity or prior-period restatement risk: USD 15,000–18,000. Complex group structure, related-party-heavy, or international footprint: USD 18,000–22,000.</w:t>
      </w:r>
    </w:p>
    <w:p>
      <w:pPr>
        <w:pBdr>
          <w:bottom w:val="single" w:color="1A1814" w:sz="6" w:space="6"/>
        </w:pBdr>
        <w:spacing w:after="60" w:before="300"/>
      </w:pPr>
      <w:r>
        <w:rPr>
          <w:rFonts w:ascii="JetBrains Mono" w:cs="JetBrains Mono" w:eastAsia="JetBrains Mono" w:hAnsi="JetBrains Mono"/>
          <w:color w:val="A8341F"/>
          <w:spacing w:val="28"/>
          <w:sz w:val="17"/>
          <w:szCs w:val="17"/>
        </w:rPr>
        <w:t xml:space="preserve">07  /  RISK FLAGS</w:t>
      </w:r>
    </w:p>
    <w:p>
      <w:pPr>
        <w:spacing w:after="12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What can go wrong, how to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handle it.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Eligibility thresholds: use the current Saudi Exchange Nomu criteria (SAR 50M market value, 50 public shareholders). An older CMA Listing Rules PDF still circulates with legacy thresholds — a SAR 10M minimum market value and shareholder tests tied to a SAR 40M market value — which are out of date. Verify against the latest consolidated CMA rulebook before any filing position is taken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Client expects the diagnostic to recommend 'list now' — independent assessment; sometimes the recommendation is 'don't list for 24 months and here's why.' Deliver the finding honestly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The licensed FA is already engaged and disagrees with the diagnostic — document the basis for each finding; disagreement is acceptable, lack of rigour is not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Scope expansion into 'just help us fix the gaps too' — separate engagements, new letters, new scope. Keep the diagnostic product pure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Material fraud or misreporting surfaced during review — escalate to client's audit committee with clear finding, do not proceed to remediation engagement without addressing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CMA guidance changes mid-engagement — update the diagnostic; Nomu rules still evolving</w:t>
      </w:r>
    </w:p>
    <w:p>
      <w:pPr>
        <w:pBdr>
          <w:bottom w:val="single" w:color="1A1814" w:sz="6" w:space="6"/>
        </w:pBdr>
        <w:spacing w:after="60" w:before="300"/>
      </w:pPr>
      <w:r>
        <w:rPr>
          <w:rFonts w:ascii="JetBrains Mono" w:cs="JetBrains Mono" w:eastAsia="JetBrains Mono" w:hAnsi="JetBrains Mono"/>
          <w:color w:val="A8341F"/>
          <w:spacing w:val="28"/>
          <w:sz w:val="17"/>
          <w:szCs w:val="17"/>
        </w:rPr>
        <w:t xml:space="preserve">08  /  REFERRAL-OUT PROTOCOL</w:t>
      </w:r>
    </w:p>
    <w:p>
      <w:pPr>
        <w:spacing w:after="12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If it is not a fit, where to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send them.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CMA-licensed financial advisers → maintain a relationship list of two or three (Jadwa Capital, Albilad Capital, Yaqeen Capital, SNB Capital for larger deals)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Prospectus drafting / reporting accountant role → licensed firms only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Downstream remediation of identified gaps → internal Daftar engagements under A/01, A/03, or fractional retainer; handled under new engagement letter</w:t>
      </w:r>
    </w:p>
    <w:p>
      <w:pPr>
        <w:pBdr>
          <w:bottom w:val="single" w:color="1A1814" w:sz="6" w:space="6"/>
        </w:pBdr>
        <w:spacing w:after="60" w:before="300"/>
      </w:pPr>
      <w:r>
        <w:rPr>
          <w:rFonts w:ascii="JetBrains Mono" w:cs="JetBrains Mono" w:eastAsia="JetBrains Mono" w:hAnsi="JetBrains Mono"/>
          <w:color w:val="A8341F"/>
          <w:spacing w:val="28"/>
          <w:sz w:val="17"/>
          <w:szCs w:val="17"/>
        </w:rPr>
        <w:t xml:space="preserve">09  /  A NOTE ON DELIVERY</w:t>
      </w:r>
    </w:p>
    <w:p>
      <w:pPr>
        <w:spacing w:after="12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The standard, not the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1A181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JetBrains Mono" w:cs="JetBrains Mono" w:eastAsia="JetBrains Mono" w:hAnsi="JetBrains Mono"/>
                <w:b/>
                <w:bCs/>
                <w:color w:val="F4F1EA"/>
                <w:spacing w:val="18"/>
                <w:sz w:val="15"/>
                <w:szCs w:val="15"/>
              </w:rPr>
              <w:t xml:space="preserve">A NOTE ON DELIVERY *This is a credibility-heavy engagement. The gap report must read as if written by someone who has actually sat through pre-IPO readiness cycles. The tone is senior and uncomfortably honest — 'your month-end close takes 22 days and your audit committee has no independent chair; these are resolvable but not in 6 months.' The diagnostic's value is that it tells the founder the truth a licensed adviser will only hint at.*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6" w:sz="4" w:space="6"/>
      </w:pBdr>
      <w:tabs>
        <w:tab w:val="right" w:pos="9360"/>
      </w:tabs>
    </w:pPr>
    <w:r>
      <w:rPr>
        <w:rFonts w:ascii="JetBrains Mono" w:cs="JetBrains Mono" w:eastAsia="JetBrains Mono" w:hAnsi="JetBrains Mono"/>
        <w:color w:val="78726A"/>
        <w:spacing w:val="20"/>
        <w:sz w:val="13"/>
        <w:szCs w:val="13"/>
      </w:rPr>
      <w:t xml:space="preserve">INTERNAL  ·  AHMAD AL HINAITI</w:t>
    </w:r>
    <w:r>
      <w:rPr>
        <w:rFonts w:ascii="JetBrains Mono" w:cs="JetBrains Mono" w:eastAsia="JetBrains Mono" w:hAnsi="JetBrains Mono"/>
        <w:color w:val="78726A"/>
        <w:sz w:val="13"/>
        <w:szCs w:val="13"/>
      </w:rPr>
      <w:t xml:space="preserve">	</w:t>
    </w:r>
    <w:r>
      <w:rPr>
        <w:rFonts w:ascii="JetBrains Mono" w:cs="JetBrains Mono" w:eastAsia="JetBrains Mono" w:hAnsi="JetBrains Mono"/>
        <w:color w:val="78726A"/>
        <w:spacing w:val="20"/>
        <w:sz w:val="13"/>
        <w:szCs w:val="13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2C6" w:sz="4" w:space="6"/>
      </w:pBdr>
      <w:tabs>
        <w:tab w:val="right" w:pos="9360"/>
      </w:tabs>
    </w:pPr>
    <w:r>
      <w:rPr>
        <w:rFonts w:ascii="JetBrains Mono" w:cs="JetBrains Mono" w:eastAsia="JetBrains Mono" w:hAnsi="JetBrains Mono"/>
        <w:color w:val="78726A"/>
        <w:spacing w:val="20"/>
        <w:sz w:val="13"/>
        <w:szCs w:val="13"/>
      </w:rPr>
      <w:t xml:space="preserve">DAFTAR  ·  ADVISORY</w:t>
    </w:r>
    <w:r>
      <w:rPr>
        <w:rFonts w:ascii="JetBrains Mono" w:cs="JetBrains Mono" w:eastAsia="JetBrains Mono" w:hAnsi="JetBrains Mono"/>
        <w:color w:val="78726A"/>
        <w:spacing w:val="20"/>
        <w:sz w:val="13"/>
        <w:szCs w:val="13"/>
      </w:rPr>
      <w:t xml:space="preserve">	C-02  ·  NOMU READINESS DIAGNOSTIC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raunces" w:cs="Fraunces" w:eastAsia="Fraunces" w:hAnsi="Fraunces"/>
        <w:color w:val="1A18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Daftar_Services_C02_Nomu_Readiness</dc:title>
  <dc:creator>Daftar Advisory</dc:creator>
  <cp:lastModifiedBy>Un-named</cp:lastModifiedBy>
  <cp:revision>1</cp:revision>
  <dcterms:created xsi:type="dcterms:W3CDTF">2026-06-01T23:25:36.765Z</dcterms:created>
  <dcterms:modified xsi:type="dcterms:W3CDTF">2026-06-01T23:25:36.765Z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