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C42B8" w14:textId="77777777" w:rsidR="001412C5" w:rsidRPr="001412C5" w:rsidRDefault="001412C5" w:rsidP="001412C5">
      <w:pPr>
        <w:rPr>
          <w:b/>
          <w:bCs/>
        </w:rPr>
      </w:pPr>
      <w:proofErr w:type="spellStart"/>
      <w:r w:rsidRPr="001412C5">
        <w:rPr>
          <w:b/>
          <w:bCs/>
        </w:rPr>
        <w:t>Nomu</w:t>
      </w:r>
      <w:proofErr w:type="spellEnd"/>
      <w:r w:rsidRPr="001412C5">
        <w:rPr>
          <w:b/>
          <w:bCs/>
        </w:rPr>
        <w:t xml:space="preserve"> Listing Requirements in 2026</w:t>
      </w:r>
    </w:p>
    <w:p w14:paraId="2A283DD9" w14:textId="77777777" w:rsidR="001412C5" w:rsidRPr="001412C5" w:rsidRDefault="001412C5" w:rsidP="001412C5">
      <w:r w:rsidRPr="001412C5">
        <w:t xml:space="preserve">As of 2026, </w:t>
      </w:r>
      <w:proofErr w:type="spellStart"/>
      <w:r w:rsidRPr="001412C5">
        <w:t>Nomu</w:t>
      </w:r>
      <w:proofErr w:type="spellEnd"/>
      <w:r w:rsidRPr="001412C5">
        <w:t xml:space="preserve"> is still the Saudi Parallel Market for companies that are not yet Main Market-ready, with lighter listing requirements and trading limited to qualified investors. The current practical benchmark is the Saudi Exchange’s published </w:t>
      </w:r>
      <w:proofErr w:type="spellStart"/>
      <w:r w:rsidRPr="001412C5">
        <w:t>Nomu</w:t>
      </w:r>
      <w:proofErr w:type="spellEnd"/>
      <w:r w:rsidRPr="001412C5">
        <w:t xml:space="preserve"> criteria: minimum market value of </w:t>
      </w:r>
      <w:r w:rsidRPr="001412C5">
        <w:rPr>
          <w:b/>
          <w:bCs/>
        </w:rPr>
        <w:t>SAR 50 million</w:t>
      </w:r>
      <w:r w:rsidRPr="001412C5">
        <w:t>, at least </w:t>
      </w:r>
      <w:r w:rsidRPr="001412C5">
        <w:rPr>
          <w:b/>
          <w:bCs/>
        </w:rPr>
        <w:t>50 public shareholders</w:t>
      </w:r>
      <w:r w:rsidRPr="001412C5">
        <w:t>, and either </w:t>
      </w:r>
      <w:r w:rsidRPr="001412C5">
        <w:rPr>
          <w:b/>
          <w:bCs/>
        </w:rPr>
        <w:t>20% public float</w:t>
      </w:r>
      <w:r w:rsidRPr="001412C5">
        <w:t> or </w:t>
      </w:r>
      <w:r w:rsidRPr="001412C5">
        <w:rPr>
          <w:b/>
          <w:bCs/>
        </w:rPr>
        <w:t>SAR 50 million of listed shares with at least 10% public ownership</w:t>
      </w:r>
      <w:r w:rsidRPr="001412C5">
        <w:t> at listing (Saudi Exchange, Become an Issuer, Saudi Exchange, Equities Overview).</w:t>
      </w:r>
    </w:p>
    <w:p w14:paraId="64D97FBA" w14:textId="77777777" w:rsidR="001412C5" w:rsidRPr="001412C5" w:rsidRDefault="001412C5" w:rsidP="001412C5">
      <w:pPr>
        <w:rPr>
          <w:b/>
          <w:bCs/>
        </w:rPr>
      </w:pPr>
      <w:r w:rsidRPr="001412C5">
        <w:rPr>
          <w:b/>
          <w:bCs/>
        </w:rPr>
        <w:t>Current eligibility criteria</w:t>
      </w:r>
    </w:p>
    <w:p w14:paraId="0705F0DE" w14:textId="77777777" w:rsidR="001412C5" w:rsidRPr="001412C5" w:rsidRDefault="001412C5" w:rsidP="001412C5">
      <w:r w:rsidRPr="001412C5">
        <w:t xml:space="preserve">A </w:t>
      </w:r>
      <w:proofErr w:type="spellStart"/>
      <w:r w:rsidRPr="001412C5">
        <w:t>Nomu</w:t>
      </w:r>
      <w:proofErr w:type="spellEnd"/>
      <w:r w:rsidRPr="001412C5">
        <w:t xml:space="preserve"> issuer must be a joint stock company, have at least one year of operating and financial activity, appoint a financial advisor, provide annual audited financial statements, provide reviewed semi-annual financial statements, and make material disclosures. The Saudi Exchange states that </w:t>
      </w:r>
      <w:proofErr w:type="spellStart"/>
      <w:r w:rsidRPr="001412C5">
        <w:t>Nomu</w:t>
      </w:r>
      <w:proofErr w:type="spellEnd"/>
      <w:r w:rsidRPr="001412C5">
        <w:t xml:space="preserve"> does </w:t>
      </w:r>
      <w:r w:rsidRPr="001412C5">
        <w:rPr>
          <w:b/>
          <w:bCs/>
        </w:rPr>
        <w:t>not</w:t>
      </w:r>
      <w:r w:rsidRPr="001412C5">
        <w:t> require a profitability track record, unlike many main-market listing regimes.</w:t>
      </w:r>
    </w:p>
    <w:p w14:paraId="09F63684" w14:textId="77777777" w:rsidR="001412C5" w:rsidRPr="001412C5" w:rsidRDefault="001412C5" w:rsidP="001412C5">
      <w:r w:rsidRPr="001412C5">
        <w:t>The CMA’s Rules on the Offer of Securities and Continuing Obligations add that the issuer’s main activity must have been carried out for at least one financial year, the audited financial statements for the year preceding the application must be prepared under applicable SOCPA standards, and reviewed interim financials are required if the latest audited annual statements are more than six months old at the time of approval.</w:t>
      </w:r>
    </w:p>
    <w:p w14:paraId="45960C77" w14:textId="77777777" w:rsidR="001412C5" w:rsidRPr="001412C5" w:rsidRDefault="001412C5" w:rsidP="001412C5">
      <w:pPr>
        <w:rPr>
          <w:b/>
          <w:bCs/>
        </w:rPr>
      </w:pPr>
      <w:r w:rsidRPr="001412C5">
        <w:rPr>
          <w:b/>
          <w:bCs/>
        </w:rPr>
        <w:t>Market cap, float, and shareholder requirements</w:t>
      </w:r>
    </w:p>
    <w:p w14:paraId="28691902" w14:textId="77777777" w:rsidR="001412C5" w:rsidRPr="001412C5" w:rsidRDefault="001412C5" w:rsidP="001412C5">
      <w:r w:rsidRPr="001412C5">
        <w:t xml:space="preserve">The current Saudi Exchange </w:t>
      </w:r>
      <w:proofErr w:type="spellStart"/>
      <w:r w:rsidRPr="001412C5">
        <w:t>Nomu</w:t>
      </w:r>
      <w:proofErr w:type="spellEnd"/>
      <w:r w:rsidRPr="001412C5">
        <w:t xml:space="preserve"> requirements are:</w:t>
      </w:r>
    </w:p>
    <w:tbl>
      <w:tblPr>
        <w:tblW w:w="1076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24"/>
        <w:gridCol w:w="8537"/>
      </w:tblGrid>
      <w:tr w:rsidR="001412C5" w:rsidRPr="001412C5" w14:paraId="0E28C8A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2F12B28" w14:textId="77777777" w:rsidR="001412C5" w:rsidRPr="001412C5" w:rsidRDefault="001412C5" w:rsidP="001412C5">
            <w:pPr>
              <w:rPr>
                <w:b/>
                <w:bCs/>
              </w:rPr>
            </w:pPr>
            <w:r w:rsidRPr="001412C5">
              <w:rPr>
                <w:b/>
                <w:bCs/>
              </w:rPr>
              <w:t>Requirement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91177AB" w14:textId="77777777" w:rsidR="001412C5" w:rsidRPr="001412C5" w:rsidRDefault="001412C5" w:rsidP="001412C5">
            <w:pPr>
              <w:rPr>
                <w:b/>
                <w:bCs/>
              </w:rPr>
            </w:pPr>
            <w:r w:rsidRPr="001412C5">
              <w:rPr>
                <w:b/>
                <w:bCs/>
              </w:rPr>
              <w:t xml:space="preserve">Current </w:t>
            </w:r>
            <w:proofErr w:type="spellStart"/>
            <w:r w:rsidRPr="001412C5">
              <w:rPr>
                <w:b/>
                <w:bCs/>
              </w:rPr>
              <w:t>Nomu</w:t>
            </w:r>
            <w:proofErr w:type="spellEnd"/>
            <w:r w:rsidRPr="001412C5">
              <w:rPr>
                <w:b/>
                <w:bCs/>
              </w:rPr>
              <w:t xml:space="preserve"> position</w:t>
            </w:r>
          </w:p>
        </w:tc>
      </w:tr>
      <w:tr w:rsidR="001412C5" w:rsidRPr="001412C5" w14:paraId="7C8159B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A71107" w14:textId="77777777" w:rsidR="001412C5" w:rsidRPr="001412C5" w:rsidRDefault="001412C5" w:rsidP="001412C5">
            <w:r w:rsidRPr="001412C5">
              <w:t>Minimum market value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D450945" w14:textId="77777777" w:rsidR="001412C5" w:rsidRPr="001412C5" w:rsidRDefault="001412C5" w:rsidP="001412C5">
            <w:r w:rsidRPr="001412C5">
              <w:rPr>
                <w:b/>
                <w:bCs/>
              </w:rPr>
              <w:t>SAR 50 million</w:t>
            </w:r>
          </w:p>
        </w:tc>
      </w:tr>
      <w:tr w:rsidR="001412C5" w:rsidRPr="001412C5" w14:paraId="1EF9BCA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5C4795" w14:textId="77777777" w:rsidR="001412C5" w:rsidRPr="001412C5" w:rsidRDefault="001412C5" w:rsidP="001412C5">
            <w:r w:rsidRPr="001412C5">
              <w:t>Public float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432E14B" w14:textId="77777777" w:rsidR="001412C5" w:rsidRPr="001412C5" w:rsidRDefault="001412C5" w:rsidP="001412C5">
            <w:r w:rsidRPr="001412C5">
              <w:t>At least </w:t>
            </w:r>
            <w:r w:rsidRPr="001412C5">
              <w:rPr>
                <w:b/>
                <w:bCs/>
              </w:rPr>
              <w:t>20% of issued shares</w:t>
            </w:r>
            <w:r w:rsidRPr="001412C5">
              <w:t>, or </w:t>
            </w:r>
            <w:r w:rsidRPr="001412C5">
              <w:rPr>
                <w:b/>
                <w:bCs/>
              </w:rPr>
              <w:t>SAR 50 million</w:t>
            </w:r>
            <w:r w:rsidRPr="001412C5">
              <w:t> worth of shares with at least </w:t>
            </w:r>
            <w:r w:rsidRPr="001412C5">
              <w:rPr>
                <w:b/>
                <w:bCs/>
              </w:rPr>
              <w:t>10% public ownership</w:t>
            </w:r>
            <w:r w:rsidRPr="001412C5">
              <w:t> of the relevant share class at listing</w:t>
            </w:r>
          </w:p>
        </w:tc>
      </w:tr>
      <w:tr w:rsidR="001412C5" w:rsidRPr="001412C5" w14:paraId="6C93809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C66A24" w14:textId="77777777" w:rsidR="001412C5" w:rsidRPr="001412C5" w:rsidRDefault="001412C5" w:rsidP="001412C5">
            <w:r w:rsidRPr="001412C5">
              <w:t>Public shareholders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FE2D85E" w14:textId="77777777" w:rsidR="001412C5" w:rsidRPr="001412C5" w:rsidRDefault="001412C5" w:rsidP="001412C5">
            <w:r w:rsidRPr="001412C5">
              <w:t>At least </w:t>
            </w:r>
            <w:r w:rsidRPr="001412C5">
              <w:rPr>
                <w:b/>
                <w:bCs/>
              </w:rPr>
              <w:t>50 public shareholders</w:t>
            </w:r>
            <w:r w:rsidRPr="001412C5">
              <w:t> at listing</w:t>
            </w:r>
          </w:p>
        </w:tc>
      </w:tr>
      <w:tr w:rsidR="001412C5" w:rsidRPr="001412C5" w14:paraId="57E2F7E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B7FC3C" w14:textId="77777777" w:rsidR="001412C5" w:rsidRPr="001412C5" w:rsidRDefault="001412C5" w:rsidP="001412C5">
            <w:r w:rsidRPr="001412C5">
              <w:lastRenderedPageBreak/>
              <w:t>Investor eligibility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A54879A" w14:textId="77777777" w:rsidR="001412C5" w:rsidRPr="001412C5" w:rsidRDefault="001412C5" w:rsidP="001412C5">
            <w:r w:rsidRPr="001412C5">
              <w:t>Trading is restricted to qualified investors</w:t>
            </w:r>
          </w:p>
        </w:tc>
      </w:tr>
      <w:tr w:rsidR="001412C5" w:rsidRPr="001412C5" w14:paraId="32105D18"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94C8A3E" w14:textId="77777777" w:rsidR="001412C5" w:rsidRPr="001412C5" w:rsidRDefault="001412C5" w:rsidP="001412C5">
            <w:r w:rsidRPr="001412C5">
              <w:t>Lock-up</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8605101" w14:textId="77777777" w:rsidR="001412C5" w:rsidRPr="001412C5" w:rsidRDefault="001412C5" w:rsidP="001412C5">
            <w:r w:rsidRPr="001412C5">
              <w:t>100% of major pre-offering shareholders’ shares are locked up for one year</w:t>
            </w:r>
          </w:p>
        </w:tc>
      </w:tr>
    </w:tbl>
    <w:p w14:paraId="38D0315E" w14:textId="77777777" w:rsidR="001412C5" w:rsidRPr="001412C5" w:rsidRDefault="001412C5" w:rsidP="001412C5">
      <w:r w:rsidRPr="001412C5">
        <w:t xml:space="preserve">One caveat: an older CMA Listing Rules PDF contains lower legacy thresholds, including SAR 10 million minimum market value and shareholder-count tests linked to SAR 40 million market value, but the current Saudi Exchange issuer pages state the SAR 50 million and 50-shareholder requirements above (CMA Listing Rules PDF, Saudi Exchange, Become an Issuer). For a 2026 client-facing analysis, I would use the Saudi Exchange’s current </w:t>
      </w:r>
      <w:proofErr w:type="spellStart"/>
      <w:r w:rsidRPr="001412C5">
        <w:t>Nomu</w:t>
      </w:r>
      <w:proofErr w:type="spellEnd"/>
      <w:r w:rsidRPr="001412C5">
        <w:t xml:space="preserve"> criteria and verify the latest consolidated CMA rulebook before filing.</w:t>
      </w:r>
    </w:p>
    <w:p w14:paraId="2602C036" w14:textId="77777777" w:rsidR="001412C5" w:rsidRPr="001412C5" w:rsidRDefault="001412C5" w:rsidP="001412C5">
      <w:pPr>
        <w:rPr>
          <w:b/>
          <w:bCs/>
        </w:rPr>
      </w:pPr>
      <w:r w:rsidRPr="001412C5">
        <w:rPr>
          <w:b/>
          <w:bCs/>
        </w:rPr>
        <w:t>Role of the financial advisor</w:t>
      </w:r>
    </w:p>
    <w:p w14:paraId="5294A205" w14:textId="77777777" w:rsidR="001412C5" w:rsidRPr="001412C5" w:rsidRDefault="001412C5" w:rsidP="001412C5">
      <w:r w:rsidRPr="001412C5">
        <w:t xml:space="preserve">A financial advisor is mandatory for a </w:t>
      </w:r>
      <w:proofErr w:type="spellStart"/>
      <w:r w:rsidRPr="001412C5">
        <w:t>Nomu</w:t>
      </w:r>
      <w:proofErr w:type="spellEnd"/>
      <w:r w:rsidRPr="001412C5">
        <w:t xml:space="preserve"> listing, while a legal advisor is listed as optional by the Saudi Exchange. Under the CMA rules, the issuer must appoint a CMA-authorized financial advisor for applications involving a prospectus, shareholders’ circular, or registration document.</w:t>
      </w:r>
    </w:p>
    <w:p w14:paraId="2B1881D2" w14:textId="77777777" w:rsidR="001412C5" w:rsidRPr="001412C5" w:rsidRDefault="001412C5" w:rsidP="001412C5">
      <w:r w:rsidRPr="001412C5">
        <w:t>The financial advisor’s role is not cosmetic. The CMA rules require the advisor to support and confirm due diligence, issuer eligibility, directors’ understanding of their obligations, adequacy of procedures, controls and systems, completeness of disclosed matters, and the scope of financial due diligence. For Parallel Market offerings, the financial advisor is also responsible for ensuring the offer is limited to qualified investors.</w:t>
      </w:r>
    </w:p>
    <w:p w14:paraId="66390D42" w14:textId="77777777" w:rsidR="001412C5" w:rsidRPr="001412C5" w:rsidRDefault="001412C5" w:rsidP="001412C5">
      <w:pPr>
        <w:rPr>
          <w:b/>
          <w:bCs/>
        </w:rPr>
      </w:pPr>
      <w:r w:rsidRPr="001412C5">
        <w:rPr>
          <w:b/>
          <w:bCs/>
        </w:rPr>
        <w:t>Recent and relevant rule developments</w:t>
      </w:r>
    </w:p>
    <w:p w14:paraId="35BE911E" w14:textId="77777777" w:rsidR="001412C5" w:rsidRPr="001412C5" w:rsidRDefault="001412C5" w:rsidP="001412C5">
      <w:proofErr w:type="spellStart"/>
      <w:r w:rsidRPr="001412C5">
        <w:t>Nomu</w:t>
      </w:r>
      <w:proofErr w:type="spellEnd"/>
      <w:r w:rsidRPr="001412C5">
        <w:t xml:space="preserve"> direct listing without an offering is available, and the Saudi Exchange says this option became effective from </w:t>
      </w:r>
      <w:r w:rsidRPr="001412C5">
        <w:rPr>
          <w:b/>
          <w:bCs/>
        </w:rPr>
        <w:t>1 January 2020</w:t>
      </w:r>
      <w:r w:rsidRPr="001412C5">
        <w:t xml:space="preserve">. A company listed on </w:t>
      </w:r>
      <w:proofErr w:type="spellStart"/>
      <w:r w:rsidRPr="001412C5">
        <w:t>Nomu</w:t>
      </w:r>
      <w:proofErr w:type="spellEnd"/>
      <w:r w:rsidRPr="001412C5">
        <w:t xml:space="preserve"> may apply to transfer to the Main Market after two calendar years, subject to meeting Main Market requirements, including a SAR 200 million average market cap over the previous 12 months under the Saudi Exchange’s transfer summary.</w:t>
      </w:r>
    </w:p>
    <w:p w14:paraId="6AD1F434" w14:textId="77777777" w:rsidR="001412C5" w:rsidRPr="001412C5" w:rsidRDefault="001412C5" w:rsidP="001412C5">
      <w:r w:rsidRPr="001412C5">
        <w:t xml:space="preserve">The most important practical change versus older </w:t>
      </w:r>
      <w:proofErr w:type="spellStart"/>
      <w:r w:rsidRPr="001412C5">
        <w:t>Nomu</w:t>
      </w:r>
      <w:proofErr w:type="spellEnd"/>
      <w:r w:rsidRPr="001412C5">
        <w:t xml:space="preserve"> materials is that current Saudi Exchange pages show higher current thresholds: SAR 50 million minimum market value and 50 public shareholders, whereas older CMA Listing Rules material reflected lower thresholds (Saudi Exchange, Become an Issuer, CMA Listing Rules PDF). I would describe this as the current published requirement, not </w:t>
      </w:r>
      <w:proofErr w:type="gramStart"/>
      <w:r w:rsidRPr="001412C5">
        <w:t>rely</w:t>
      </w:r>
      <w:proofErr w:type="gramEnd"/>
      <w:r w:rsidRPr="001412C5">
        <w:t xml:space="preserve"> on the older legacy PDF thresholds.</w:t>
      </w:r>
    </w:p>
    <w:p w14:paraId="13925399" w14:textId="77777777" w:rsidR="001412C5" w:rsidRPr="001412C5" w:rsidRDefault="001412C5" w:rsidP="001412C5">
      <w:pPr>
        <w:rPr>
          <w:b/>
          <w:bCs/>
        </w:rPr>
      </w:pPr>
      <w:r w:rsidRPr="001412C5">
        <w:rPr>
          <w:b/>
          <w:bCs/>
        </w:rPr>
        <w:lastRenderedPageBreak/>
        <w:t>What “</w:t>
      </w:r>
      <w:proofErr w:type="spellStart"/>
      <w:r w:rsidRPr="001412C5">
        <w:rPr>
          <w:b/>
          <w:bCs/>
        </w:rPr>
        <w:t>Nomu</w:t>
      </w:r>
      <w:proofErr w:type="spellEnd"/>
      <w:r w:rsidRPr="001412C5">
        <w:rPr>
          <w:b/>
          <w:bCs/>
        </w:rPr>
        <w:t xml:space="preserve"> readiness” means in practice</w:t>
      </w:r>
    </w:p>
    <w:p w14:paraId="6F9DCCDA" w14:textId="77777777" w:rsidR="001412C5" w:rsidRPr="001412C5" w:rsidRDefault="001412C5" w:rsidP="001412C5">
      <w:r w:rsidRPr="001412C5">
        <w:t>Official CMA and Saudi Exchange materials do not appear to define a single formal label called “</w:t>
      </w:r>
      <w:proofErr w:type="spellStart"/>
      <w:r w:rsidRPr="001412C5">
        <w:t>Nomu</w:t>
      </w:r>
      <w:proofErr w:type="spellEnd"/>
      <w:r w:rsidRPr="001412C5">
        <w:t xml:space="preserve"> readiness,” but the required workstreams are clear from the listing and offering rules. A company needs corporate-form readiness, audited and reviewed financial reporting readiness, disclosure readiness, governance and board-responsibility readiness, internal controls and systems readiness, shareholder/floating-structure readiness, and financial-advisor-led due diligence readiness (Saudi Exchange, Become an Issuer, CMA Rules on the Offer of Securities and Continuing Obligations).</w:t>
      </w:r>
    </w:p>
    <w:p w14:paraId="13C8B0D9" w14:textId="77777777" w:rsidR="001412C5" w:rsidRPr="001412C5" w:rsidRDefault="001412C5" w:rsidP="001412C5">
      <w:r w:rsidRPr="001412C5">
        <w:t xml:space="preserve">In advisory language, a </w:t>
      </w:r>
      <w:proofErr w:type="spellStart"/>
      <w:r w:rsidRPr="001412C5">
        <w:t>Nomu</w:t>
      </w:r>
      <w:proofErr w:type="spellEnd"/>
      <w:r w:rsidRPr="001412C5">
        <w:t xml:space="preserve"> pre-IPO readiness engagement would usually mean converting or preparing the company as a joint stock company, cleaning up SOCPA/IFRS financial statements, completing financial and legal due diligence, building a valuation and equity story, preparing the Arabic registration document or prospectus, strengthening governance and disclosure processes, confirming qualified-investor distribution and float mechanics, and preparing management for continuing obligations after listing. Those items map directly to the Saudi Exchange’s listing criteria and the CMA’s advisor due-diligence confirmations, even if “pre-IPO readiness” itself is a market-practice phrase rather than a separate CMA checklist (Saudi Exchange, Equities Overview, CMA Rules on the Offer of Securities and Continuing Obligations).</w:t>
      </w:r>
    </w:p>
    <w:p w14:paraId="54095722" w14:textId="77777777" w:rsidR="002E2109" w:rsidRDefault="002E2109"/>
    <w:sectPr w:rsidR="002E2109" w:rsidSect="001412C5">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2CC"/>
    <w:rsid w:val="001412C5"/>
    <w:rsid w:val="00272686"/>
    <w:rsid w:val="002E2109"/>
    <w:rsid w:val="004773C0"/>
    <w:rsid w:val="004E1290"/>
    <w:rsid w:val="006062CC"/>
    <w:rsid w:val="00AA17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EE8BBB-0E8E-4619-8FB6-96C7839A8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2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2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2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2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2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2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2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2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2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2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2CC"/>
    <w:rPr>
      <w:rFonts w:eastAsiaTheme="majorEastAsia" w:cstheme="majorBidi"/>
      <w:color w:val="272727" w:themeColor="text1" w:themeTint="D8"/>
    </w:rPr>
  </w:style>
  <w:style w:type="paragraph" w:styleId="Title">
    <w:name w:val="Title"/>
    <w:basedOn w:val="Normal"/>
    <w:next w:val="Normal"/>
    <w:link w:val="TitleChar"/>
    <w:uiPriority w:val="10"/>
    <w:qFormat/>
    <w:rsid w:val="00606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2CC"/>
    <w:pPr>
      <w:spacing w:before="160"/>
      <w:jc w:val="center"/>
    </w:pPr>
    <w:rPr>
      <w:i/>
      <w:iCs/>
      <w:color w:val="404040" w:themeColor="text1" w:themeTint="BF"/>
    </w:rPr>
  </w:style>
  <w:style w:type="character" w:customStyle="1" w:styleId="QuoteChar">
    <w:name w:val="Quote Char"/>
    <w:basedOn w:val="DefaultParagraphFont"/>
    <w:link w:val="Quote"/>
    <w:uiPriority w:val="29"/>
    <w:rsid w:val="006062CC"/>
    <w:rPr>
      <w:i/>
      <w:iCs/>
      <w:color w:val="404040" w:themeColor="text1" w:themeTint="BF"/>
    </w:rPr>
  </w:style>
  <w:style w:type="paragraph" w:styleId="ListParagraph">
    <w:name w:val="List Paragraph"/>
    <w:basedOn w:val="Normal"/>
    <w:uiPriority w:val="34"/>
    <w:qFormat/>
    <w:rsid w:val="006062CC"/>
    <w:pPr>
      <w:ind w:left="720"/>
      <w:contextualSpacing/>
    </w:pPr>
  </w:style>
  <w:style w:type="character" w:styleId="IntenseEmphasis">
    <w:name w:val="Intense Emphasis"/>
    <w:basedOn w:val="DefaultParagraphFont"/>
    <w:uiPriority w:val="21"/>
    <w:qFormat/>
    <w:rsid w:val="006062CC"/>
    <w:rPr>
      <w:i/>
      <w:iCs/>
      <w:color w:val="0F4761" w:themeColor="accent1" w:themeShade="BF"/>
    </w:rPr>
  </w:style>
  <w:style w:type="paragraph" w:styleId="IntenseQuote">
    <w:name w:val="Intense Quote"/>
    <w:basedOn w:val="Normal"/>
    <w:next w:val="Normal"/>
    <w:link w:val="IntenseQuoteChar"/>
    <w:uiPriority w:val="30"/>
    <w:qFormat/>
    <w:rsid w:val="00606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2CC"/>
    <w:rPr>
      <w:i/>
      <w:iCs/>
      <w:color w:val="0F4761" w:themeColor="accent1" w:themeShade="BF"/>
    </w:rPr>
  </w:style>
  <w:style w:type="character" w:styleId="IntenseReference">
    <w:name w:val="Intense Reference"/>
    <w:basedOn w:val="DefaultParagraphFont"/>
    <w:uiPriority w:val="32"/>
    <w:qFormat/>
    <w:rsid w:val="006062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822</Words>
  <Characters>4686</Characters>
  <Application>Microsoft Office Word</Application>
  <DocSecurity>0</DocSecurity>
  <Lines>39</Lines>
  <Paragraphs>10</Paragraphs>
  <ScaleCrop>false</ScaleCrop>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Al-Hinaiti</dc:creator>
  <cp:keywords/>
  <dc:description/>
  <cp:lastModifiedBy>Ahmad Al-Hinaiti</cp:lastModifiedBy>
  <cp:revision>3</cp:revision>
  <dcterms:created xsi:type="dcterms:W3CDTF">2026-06-01T10:58:00Z</dcterms:created>
  <dcterms:modified xsi:type="dcterms:W3CDTF">2026-06-01T10:58:00Z</dcterms:modified>
</cp:coreProperties>
</file>