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0" w:line="300" w:lineRule="auto"/>
      </w:pPr>
      <w:r>
        <w:rPr>
          <w:rFonts w:ascii="Lora" w:cs="Lora" w:eastAsia="Lora" w:hAnsi="Lora"/>
          <w:i/>
          <w:iCs/>
          <w:color w:val="0E211B"/>
          <w:sz w:val="34"/>
          <w:szCs w:val="34"/>
        </w:rPr>
        <w:t xml:space="preserve">Calibre</w:t>
      </w:r>
      <w:r>
        <w:rPr>
          <w:rFonts w:ascii="Plus Jakarta Sans" w:cs="Plus Jakarta Sans" w:eastAsia="Plus Jakarta Sans" w:hAnsi="Plus Jakarta Sans"/>
          <w:b/>
          <w:bCs/>
          <w:color w:val="596B66"/>
          <w:sz w:val="17"/>
          <w:szCs w:val="17"/>
        </w:rPr>
        <w:t xml:space="preserve">   by Daftar</w:t>
      </w:r>
    </w:p>
    <w:p>
      <w:pPr>
        <w:pBdr>
          <w:left w:val="single" w:color="265147" w:sz="18" w:space="8"/>
        </w:pBdr>
        <w:spacing w:after="220" w:before="0" w:line="300" w:lineRule="auto"/>
        <w:ind w:left="17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Candidate notice and data record</w:t>
      </w:r>
    </w:p>
    <w:p>
      <w:pPr>
        <w:spacing w:after="180" w:before="0" w:line="276" w:lineRule="auto"/>
      </w:pPr>
      <w:r>
        <w:rPr>
          <w:rFonts w:ascii="Lora" w:cs="Lora" w:eastAsia="Lora" w:hAnsi="Lora"/>
          <w:color w:val="0E211B"/>
          <w:sz w:val="46"/>
          <w:szCs w:val="46"/>
        </w:rPr>
        <w:t xml:space="preserve">Use before candidate information enters the review</w:t>
      </w:r>
    </w:p>
    <w:p>
      <w:pPr>
        <w:spacing w:after="240" w:before="0" w:line="330" w:lineRule="auto"/>
      </w:pPr>
      <w:r>
        <w:rPr>
          <w:rFonts w:ascii="Lora" w:cs="Lora" w:eastAsia="Lora" w:hAnsi="Lora"/>
          <w:color w:val="394740"/>
          <w:sz w:val="23"/>
          <w:szCs w:val="23"/>
        </w:rPr>
        <w:t xml:space="preserve">A plain-language notice for the client to adapt, and the minimum operational facts Calibre needs to record. It does not replace the client's privacy notice or legal review.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01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Candidate notice template</w:t>
      </w:r>
    </w:p>
    <w:p>
      <w:pPr>
        <w:keepNext/>
        <w:pBdr>
          <w:left w:val="single" w:color="265147" w:sz="24" w:space="10"/>
        </w:pBdr>
        <w:shd w:fill="F0F5F3" w:color="auto" w:val="clear"/>
        <w:spacing w:after="0" w:before="160" w:line="280" w:lineRule="auto"/>
        <w:ind w:left="200" w:right="12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Template for the client to send</w:t>
      </w:r>
    </w:p>
    <w:p>
      <w:pPr>
        <w:pBdr>
          <w:left w:val="single" w:color="265147" w:sz="24" w:space="10"/>
        </w:pBdr>
        <w:shd w:fill="F0F5F3" w:color="auto" w:val="clear"/>
        <w:spacing w:after="6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0E211B"/>
          <w:sz w:val="19"/>
          <w:szCs w:val="19"/>
        </w:rPr>
        <w:t xml:space="preserve">[Client] is using Calibre by Daftar to help its hiring panel review job-related evidence for the [role] recruitment process. The service organises information already supplied through the hiring process against criteria agreed for this role. Human panelists make the assessments and [client] makes the hiring decision. Calibre does not use psychometric testing, personality profiling, culture-fit scoring, automated candidate ranking, or an automated hiring decision.</w:t>
      </w:r>
    </w:p>
    <w:p>
      <w:pPr>
        <w:pBdr>
          <w:left w:val="single" w:color="265147" w:sz="24" w:space="10"/>
        </w:pBdr>
        <w:shd w:fill="F0F5F3" w:color="auto" w:val="clear"/>
        <w:spacing w:after="20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0E211B"/>
          <w:sz w:val="19"/>
          <w:szCs w:val="19"/>
        </w:rPr>
        <w:t xml:space="preserve">Information used may include your CV, work history, interview notes, interview scores, and job-related work samples supplied by [client]. It is shared only with authorised members of the hiring process and handled for the retention period stated by [client]. To ask about access, correction, deletion, or a reasonable adjustment, contact [client contact and method].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02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Notice record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0"/>
        <w:gridCol w:w="1500"/>
        <w:gridCol w:w="1500"/>
        <w:gridCol w:w="1600"/>
        <w:gridCol w:w="2084"/>
        <w:gridCol w:w="1500"/>
      </w:tblGrid>
      <w:tr>
        <w:trPr>
          <w:cantSplit/>
          <w:tblHeader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Finalist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Notice version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Sent date</w:t>
            </w:r>
          </w:p>
        </w:tc>
        <w:tc>
          <w:tcPr>
            <w:tcW w:type="dxa" w:w="16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Method</w:t>
            </w:r>
          </w:p>
        </w:tc>
        <w:tc>
          <w:tcPr>
            <w:tcW w:type="dxa" w:w="208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Client owner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Confirmed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K1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0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Yes / No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K2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0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Yes / No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K3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0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Yes / No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K4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0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Yes / No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K5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0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Yes / No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K6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0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Yes / No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03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Reasonable adjustment record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Record only the operational adjustment. Never record medical information, and never record the reason in the rubric, the scoring file, the calibration record or the Verdict.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0"/>
        <w:gridCol w:w="3200"/>
        <w:gridCol w:w="2000"/>
        <w:gridCol w:w="1584"/>
        <w:gridCol w:w="1400"/>
      </w:tblGrid>
      <w:tr>
        <w:trPr>
          <w:cantSplit/>
          <w:tblHeader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Finalist</w:t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Adjustment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Applies to</w:t>
            </w:r>
          </w:p>
        </w:tc>
        <w:tc>
          <w:tcPr>
            <w:tcW w:type="dxa" w:w="158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Owner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Completed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Yes / No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Yes / No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Yes / No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Yes / No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Yes / No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Yes / No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04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Retention and deletion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400"/>
        <w:gridCol w:w="5784"/>
      </w:tblGrid>
      <w:tr>
        <w:trPr>
          <w:cantSplit/>
        </w:trPr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Verdict issue date</w:t>
            </w:r>
          </w:p>
        </w:tc>
        <w:tc>
          <w:tcPr>
            <w:tcW w:type="dxa" w:w="5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Default purge date</w:t>
            </w:r>
          </w:p>
        </w:tc>
        <w:tc>
          <w:tcPr>
            <w:tcW w:type="dxa" w:w="5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90 days after issue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Approved different schedule and basis</w:t>
            </w:r>
          </w:p>
        </w:tc>
        <w:tc>
          <w:tcPr>
            <w:tcW w:type="dxa" w:w="5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Systems and locations checked</w:t>
            </w:r>
          </w:p>
        </w:tc>
        <w:tc>
          <w:tcPr>
            <w:tcW w:type="dxa" w:w="5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Deletion completed by</w:t>
            </w:r>
          </w:p>
        </w:tc>
        <w:tc>
          <w:tcPr>
            <w:tcW w:type="dxa" w:w="5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Deletion completed at</w:t>
            </w:r>
          </w:p>
        </w:tc>
        <w:tc>
          <w:tcPr>
            <w:tcW w:type="dxa" w:w="5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Post-purge identifier</w:t>
            </w:r>
          </w:p>
        </w:tc>
        <w:tc>
          <w:tcPr>
            <w:tcW w:type="dxa" w:w="5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Initials or a non-identifying finalist reference only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pBdr>
          <w:left w:val="single" w:color="265147" w:sz="24" w:space="10"/>
        </w:pBdr>
        <w:shd w:fill="D5E3DE" w:color="auto" w:val="clear"/>
        <w:spacing w:after="0" w:before="160" w:line="280" w:lineRule="auto"/>
        <w:ind w:left="200" w:right="12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Use statement</w:t>
      </w:r>
    </w:p>
    <w:p>
      <w:pPr>
        <w:pBdr>
          <w:left w:val="single" w:color="265147" w:sz="24" w:space="10"/>
        </w:pBdr>
        <w:shd w:fill="D5E3DE" w:color="auto" w:val="clear"/>
        <w:spacing w:after="20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0E211B"/>
          <w:sz w:val="19"/>
          <w:szCs w:val="19"/>
        </w:rPr>
        <w:t xml:space="preserve">Structured hiring advisory for finance roles. Not a psychometric assessment. Does not predict performance. The decision, and its consequences, rest with the employer.</w:t>
      </w:r>
    </w:p>
    <w:sectPr>
      <w:footerReference w:type="default" r:id="rId6"/>
      <w:pgSz w:w="11906" w:h="16838" w:orient="portrait"/>
      <w:pgMar w:top="1361" w:right="1361" w:bottom="1361" w:left="1361" w:header="708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E3DE" w:sz="4" w:space="6"/>
      </w:pBdr>
      <w:spacing w:after="0" w:before="0" w:line="300" w:lineRule="auto"/>
    </w:pPr>
    <w:r>
      <w:rPr>
        <w:rFonts w:ascii="Plus Jakarta Sans" w:cs="Plus Jakarta Sans" w:eastAsia="Plus Jakarta Sans" w:hAnsi="Plus Jakarta Sans"/>
        <w:b/>
        <w:bCs/>
        <w:color w:val="1C3D35"/>
        <w:sz w:val="15"/>
        <w:szCs w:val="15"/>
      </w:rPr>
      <w:t xml:space="preserve">Calibre by Daftar</w:t>
    </w:r>
    <w:r>
      <w:rPr>
        <w:rFonts w:ascii="Plus Jakarta Sans" w:cs="Plus Jakarta Sans" w:eastAsia="Plus Jakarta Sans" w:hAnsi="Plus Jakarta Sans"/>
        <w:color w:val="596B66"/>
        <w:sz w:val="15"/>
        <w:szCs w:val="15"/>
      </w:rPr>
      <w:t xml:space="preserve">  ·  A product of Daftar Advisory · Amman  ·  Candidate notice and data record  ·  </w:t>
    </w:r>
    <w:r>
      <w:rPr>
        <w:rFonts w:ascii="Plus Jakarta Sans" w:cs="Plus Jakarta Sans" w:eastAsia="Plus Jakarta Sans" w:hAnsi="Plus Jakarta Sans"/>
        <w:color w:val="596B6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65147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394740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Lora" w:cs="Lora" w:eastAsia="Lora" w:hAnsi="Lora"/>
      <w:color w:val="0E211B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Plus Jakarta Sans" w:cs="Plus Jakarta Sans" w:eastAsia="Plus Jakarta Sans" w:hAnsi="Plus Jakarta Sans"/>
      <w:b/>
      <w:bCs/>
      <w:color w:val="1C3D35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Candidate notice and data record</dc:title>
  <dc:creator>Calibre by Daftar</dc:creator>
  <cp:lastModifiedBy>Un-named</cp:lastModifiedBy>
  <cp:revision>1</cp:revision>
  <dcterms:created xsi:type="dcterms:W3CDTF">2026-10-05T07:48:56.746Z</dcterms:created>
  <dcterms:modified xsi:type="dcterms:W3CDTF">2026-10-05T07:48:56.746Z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