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0" w:line="300" w:lineRule="auto"/>
      </w:pPr>
      <w:r>
        <w:rPr>
          <w:rFonts w:ascii="Lora" w:cs="Lora" w:eastAsia="Lora" w:hAnsi="Lora"/>
          <w:i/>
          <w:iCs/>
          <w:color w:val="0E211B"/>
          <w:sz w:val="34"/>
          <w:szCs w:val="34"/>
        </w:rPr>
        <w:t xml:space="preserve">Calibre</w:t>
      </w:r>
      <w:r>
        <w:rPr>
          <w:rFonts w:ascii="Plus Jakarta Sans" w:cs="Plus Jakarta Sans" w:eastAsia="Plus Jakarta Sans" w:hAnsi="Plus Jakarta Sans"/>
          <w:b/>
          <w:bCs/>
          <w:color w:val="596B66"/>
          <w:sz w:val="17"/>
          <w:szCs w:val="17"/>
        </w:rPr>
        <w:t xml:space="preserve">   by Daftar</w:t>
      </w:r>
    </w:p>
    <w:p>
      <w:pPr>
        <w:pBdr>
          <w:left w:val="single" w:color="265147" w:sz="18" w:space="8"/>
        </w:pBdr>
        <w:spacing w:after="220" w:before="0" w:line="300" w:lineRule="auto"/>
        <w:ind w:left="17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30"/>
          <w:sz w:val="15"/>
          <w:szCs w:val="15"/>
        </w:rPr>
        <w:t xml:space="preserve">Panel scoring guide</w:t>
      </w:r>
    </w:p>
    <w:p>
      <w:pPr>
        <w:spacing w:after="180" w:before="0" w:line="276" w:lineRule="auto"/>
      </w:pPr>
      <w:r>
        <w:rPr>
          <w:rFonts w:ascii="Lora" w:cs="Lora" w:eastAsia="Lora" w:hAnsi="Lora"/>
          <w:color w:val="0E211B"/>
          <w:sz w:val="46"/>
          <w:szCs w:val="46"/>
        </w:rPr>
        <w:t xml:space="preserve">Independent scoring before reveal</w:t>
      </w:r>
    </w:p>
    <w:p>
      <w:pPr>
        <w:spacing w:after="240" w:before="0" w:line="330" w:lineRule="auto"/>
      </w:pPr>
      <w:r>
        <w:rPr>
          <w:rFonts w:ascii="Lora" w:cs="Lora" w:eastAsia="Lora" w:hAnsi="Lora"/>
          <w:color w:val="394740"/>
          <w:sz w:val="23"/>
          <w:szCs w:val="23"/>
        </w:rPr>
        <w:t xml:space="preserve">Every panelist scores every finalist against the same locked rubric. Scores stay hidden until every panelist has submitted, or the scoring deadline has passed.</w:t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01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Scoring rules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00"/>
        <w:gridCol w:w="3400"/>
        <w:gridCol w:w="4884"/>
      </w:tblGrid>
      <w:tr>
        <w:trPr>
          <w:cantSplit/>
          <w:tblHeader/>
        </w:trPr>
        <w:tc>
          <w:tcPr>
            <w:tcW w:type="dxa" w:w="9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Score</w:t>
            </w:r>
          </w:p>
        </w:tc>
        <w:tc>
          <w:tcPr>
            <w:tcW w:type="dxa" w:w="3400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Meaning</w:t>
            </w:r>
          </w:p>
        </w:tc>
        <w:tc>
          <w:tcPr>
            <w:tcW w:type="dxa" w:w="4884"/>
            <w:tcBorders>
              <w:top w:val="none" w:color="auto" w:sz="0"/>
              <w:left w:val="none" w:color="auto" w:sz="0"/>
              <w:bottom w:val="single" w:color="265147" w:sz="12"/>
              <w:right w:val="none" w:color="auto" w:sz="0"/>
            </w:tcBorders>
            <w:shd w:fill="F0F5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aps/>
                <w:color w:val="0E211B"/>
                <w:spacing w:val="10"/>
                <w:sz w:val="15"/>
                <w:szCs w:val="15"/>
              </w:rPr>
              <w:t xml:space="preserve">Required record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0</w:t>
            </w:r>
          </w:p>
        </w:tc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No usable evidence</w:t>
            </w:r>
          </w:p>
        </w:tc>
        <w:tc>
          <w:tcPr>
            <w:tcW w:type="dxa" w:w="4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Name the missing evidence and what would resolve it.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Falls materially short of the anchor</w:t>
            </w:r>
          </w:p>
        </w:tc>
        <w:tc>
          <w:tcPr>
            <w:tcW w:type="dxa" w:w="4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Cite the job-related evidence.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2</w:t>
            </w:r>
          </w:p>
        </w:tc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Between anchors 1 and 3</w:t>
            </w:r>
          </w:p>
        </w:tc>
        <w:tc>
          <w:tcPr>
            <w:tcW w:type="dxa" w:w="4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Explain why the evidence does not reach 3.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3</w:t>
            </w:r>
          </w:p>
        </w:tc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Meets the role requirement</w:t>
            </w:r>
          </w:p>
        </w:tc>
        <w:tc>
          <w:tcPr>
            <w:tcW w:type="dxa" w:w="4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Cite the evidence that satisfies the anchor.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4</w:t>
            </w:r>
          </w:p>
        </w:tc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Between anchors 3 and 5</w:t>
            </w:r>
          </w:p>
        </w:tc>
        <w:tc>
          <w:tcPr>
            <w:tcW w:type="dxa" w:w="4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Explain the additional relevant evidence.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Exceeds the role requirement</w:t>
            </w:r>
          </w:p>
        </w:tc>
        <w:tc>
          <w:tcPr>
            <w:tcW w:type="dxa" w:w="48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Cite the evidence that satisfies anchor 5.</w:t>
            </w:r>
          </w:p>
        </w:tc>
      </w:tr>
    </w:tbl>
    <w:p>
      <w:pPr>
        <w:spacing w:after="0" w:before="0" w:line="16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02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Evidence notes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Write at least 40 characters for every score, including 0.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Name the evidence source and its date where available.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Separate a demonstrated weakness from missing evidence.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Do not infer protected characteristics, personality, culture fit or future performance.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Do not discuss scores with other panelists before submission.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After submission the record is immutable. Corrections are appended with a reason.</w:t>
      </w:r>
    </w:p>
    <w:p>
      <w:pPr>
        <w:keepNext/>
        <w:pBdr>
          <w:left w:val="single" w:color="265147" w:sz="24" w:space="10"/>
        </w:pBdr>
        <w:shd w:fill="F0F5F3" w:color="auto" w:val="clear"/>
        <w:spacing w:after="0" w:before="160" w:line="280" w:lineRule="auto"/>
        <w:ind w:left="200" w:right="12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30"/>
          <w:sz w:val="15"/>
          <w:szCs w:val="15"/>
        </w:rPr>
        <w:t xml:space="preserve">Good evidence note</w:t>
      </w:r>
    </w:p>
    <w:p>
      <w:pPr>
        <w:pBdr>
          <w:left w:val="single" w:color="265147" w:sz="24" w:space="10"/>
        </w:pBdr>
        <w:shd w:fill="F0F5F3" w:color="auto" w:val="clear"/>
        <w:spacing w:after="200" w:before="0" w:line="290" w:lineRule="auto"/>
        <w:ind w:left="200" w:right="120"/>
      </w:pPr>
      <w:r>
        <w:rPr>
          <w:rFonts w:ascii="Plus Jakarta Sans" w:cs="Plus Jakarta Sans" w:eastAsia="Plus Jakarta Sans" w:hAnsi="Plus Jakarta Sans"/>
          <w:color w:val="0E211B"/>
          <w:sz w:val="19"/>
          <w:szCs w:val="19"/>
        </w:rPr>
        <w:t xml:space="preserve">C2, score 3. Owned the monthly close for a five-entity group, stated in the CV and supported by the panel interview note dated [date]. The evidence supports the anchor but does not establish listed-group reporting.</w:t>
      </w:r>
    </w:p>
    <w:p>
      <w:pPr>
        <w:keepNext/>
        <w:pBdr>
          <w:left w:val="single" w:color="596B66" w:sz="24" w:space="10"/>
        </w:pBdr>
        <w:shd w:fill="F6F7F8" w:color="auto" w:val="clear"/>
        <w:spacing w:after="0" w:before="160" w:line="280" w:lineRule="auto"/>
        <w:ind w:left="200" w:right="120"/>
      </w:pPr>
      <w:r>
        <w:rPr>
          <w:rFonts w:ascii="Plus Jakarta Sans" w:cs="Plus Jakarta Sans" w:eastAsia="Plus Jakarta Sans" w:hAnsi="Plus Jakarta Sans"/>
          <w:b/>
          <w:bCs/>
          <w:caps/>
          <w:color w:val="596B66"/>
          <w:spacing w:val="30"/>
          <w:sz w:val="15"/>
          <w:szCs w:val="15"/>
        </w:rPr>
        <w:t xml:space="preserve">Insufficient evidence note</w:t>
      </w:r>
    </w:p>
    <w:p>
      <w:pPr>
        <w:pBdr>
          <w:left w:val="single" w:color="596B66" w:sz="24" w:space="10"/>
        </w:pBdr>
        <w:shd w:fill="F6F7F8" w:color="auto" w:val="clear"/>
        <w:spacing w:after="200" w:before="0" w:line="290" w:lineRule="auto"/>
        <w:ind w:left="200" w:right="120"/>
      </w:pPr>
      <w:r>
        <w:rPr>
          <w:rFonts w:ascii="Plus Jakarta Sans" w:cs="Plus Jakarta Sans" w:eastAsia="Plus Jakarta Sans" w:hAnsi="Plus Jakarta Sans"/>
          <w:color w:val="0E211B"/>
          <w:sz w:val="19"/>
          <w:szCs w:val="19"/>
        </w:rPr>
        <w:t xml:space="preserve">Good communicator and seems like a strong fit.</w:t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03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Panelist submission</w:t>
      </w:r>
    </w:p>
    <w:tbl>
      <w:tblPr>
        <w:tblW w:type="dxa" w:w="9184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600"/>
        <w:gridCol w:w="5584"/>
      </w:tblGrid>
      <w:tr>
        <w:trPr>
          <w:cantSplit/>
        </w:trPr>
        <w:tc>
          <w:tcPr>
            <w:tcW w:type="dxa" w:w="3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Panelist name</w:t>
            </w:r>
          </w:p>
        </w:tc>
        <w:tc>
          <w:tcPr>
            <w:tcW w:type="dxa" w:w="5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Finalist reference</w:t>
            </w:r>
          </w:p>
        </w:tc>
        <w:tc>
          <w:tcPr>
            <w:tcW w:type="dxa" w:w="5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Rubric version</w:t>
            </w:r>
          </w:p>
        </w:tc>
        <w:tc>
          <w:tcPr>
            <w:tcW w:type="dxa" w:w="5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Submitted at</w:t>
            </w:r>
          </w:p>
        </w:tc>
        <w:tc>
          <w:tcPr>
            <w:tcW w:type="dxa" w:w="5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All criteria scored</w:t>
            </w:r>
          </w:p>
        </w:tc>
        <w:tc>
          <w:tcPr>
            <w:tcW w:type="dxa" w:w="5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Every score has an evidence note</w:t>
            </w:r>
          </w:p>
        </w:tc>
        <w:tc>
          <w:tcPr>
            <w:tcW w:type="dxa" w:w="5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Scored independently</w:t>
            </w:r>
          </w:p>
        </w:tc>
        <w:tc>
          <w:tcPr>
            <w:tcW w:type="dxa" w:w="5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>Yes / No</w:t>
            </w:r>
          </w:p>
        </w:tc>
      </w:tr>
      <w:tr>
        <w:trPr>
          <w:cantSplit/>
        </w:trPr>
        <w:tc>
          <w:tcPr>
            <w:tcW w:type="dxa" w:w="3600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1C3D35"/>
                <w:sz w:val="19"/>
                <w:szCs w:val="19"/>
              </w:rPr>
              <w:t xml:space="preserve">Signature</w:t>
            </w:r>
          </w:p>
        </w:tc>
        <w:tc>
          <w:tcPr>
            <w:tcW w:type="dxa" w:w="5584"/>
            <w:tcBorders>
              <w:top w:val="none" w:color="auto" w:sz="0"/>
              <w:left w:val="none" w:color="auto" w:sz="0"/>
              <w:bottom w:val="single" w:color="D5E3DE" w:sz="4"/>
              <w:right w:val="none" w:color="auto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4" w:lineRule="auto"/>
            </w:pPr>
            <w:r>
              <w:rPr>
                <w:rFonts w:ascii="Plus Jakarta Sans" w:cs="Plus Jakarta Sans" w:eastAsia="Plus Jakarta Sans" w:hAnsi="Plus Jakarta Sans"/>
                <w:color w:val="39474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16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/>
      </w:r>
    </w:p>
    <w:p>
      <w:pPr>
        <w:keepNext/>
        <w:spacing w:after="30" w:before="200" w:line="300" w:lineRule="auto"/>
      </w:pPr>
      <w:r>
        <w:rPr>
          <w:rFonts w:ascii="Plus Jakarta Sans" w:cs="Plus Jakarta Sans" w:eastAsia="Plus Jakarta Sans" w:hAnsi="Plus Jakarta Sans"/>
          <w:b/>
          <w:bCs/>
          <w:color w:val="265147"/>
          <w:spacing w:val="30"/>
          <w:sz w:val="15"/>
          <w:szCs w:val="15"/>
        </w:rPr>
        <w:t xml:space="preserve">§ 04</w:t>
      </w:r>
    </w:p>
    <w:p>
      <w:pPr>
        <w:pStyle w:val="Heading1"/>
        <w:keepNext/>
        <w:pBdr>
          <w:bottom w:val="single" w:color="D5E3DE" w:sz="4" w:space="6"/>
        </w:pBdr>
        <w:spacing w:after="100" w:before="0"/>
      </w:pPr>
      <w:r>
        <w:rPr>
          <w:rFonts w:ascii="Lora" w:cs="Lora" w:eastAsia="Lora" w:hAnsi="Lora"/>
          <w:color w:val="0E211B"/>
          <w:sz w:val="30"/>
          <w:szCs w:val="30"/>
        </w:rPr>
        <w:t xml:space="preserve">Before reveal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The Calibre lead confirms every required panelist has submitted, or that the scoring deadline has passed.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No weighted total, comparison or other panelist's score is shown before reveal.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Late evidence is logged and applied consistently to every affected panelist.</w:t>
      </w:r>
    </w:p>
    <w:p>
      <w:pPr>
        <w:pStyle w:val="ListParagraph"/>
        <w:numPr>
          <w:ilvl w:val="0"/>
          <w:numId w:val="2"/>
        </w:numPr>
        <w:spacing w:after="30" w:before="0" w:line="300" w:lineRule="auto"/>
      </w:pPr>
      <w:r>
        <w:rPr>
          <w:rFonts w:ascii="Plus Jakarta Sans" w:cs="Plus Jakarta Sans" w:eastAsia="Plus Jakarta Sans" w:hAnsi="Plus Jakarta Sans"/>
          <w:color w:val="394740"/>
          <w:sz w:val="19"/>
          <w:szCs w:val="19"/>
        </w:rPr>
        <w:t xml:space="preserve">The comparison stays in finalist reference order and is never colour-coded as an order of merit.</w:t>
      </w:r>
    </w:p>
    <w:p>
      <w:pPr>
        <w:spacing w:after="120" w:before="0" w:line="300" w:lineRule="auto"/>
      </w:pPr>
      <w:r>
        <w:rPr>
          <w:rFonts w:ascii="Plus Jakarta Sans" w:cs="Plus Jakarta Sans" w:eastAsia="Plus Jakarta Sans" w:hAnsi="Plus Jakarta Sans"/>
          <w:i/>
          <w:iCs/>
          <w:color w:val="596B66"/>
          <w:sz w:val="17"/>
          <w:szCs w:val="17"/>
        </w:rPr>
        <w:t xml:space="preserve">Scores are entered on sheet 02 of the Calibre Verdict working file only after reveal.</w:t>
      </w:r>
    </w:p>
    <w:p>
      <w:pPr>
        <w:keepNext/>
        <w:pBdr>
          <w:left w:val="single" w:color="265147" w:sz="24" w:space="10"/>
        </w:pBdr>
        <w:shd w:fill="D5E3DE" w:color="auto" w:val="clear"/>
        <w:spacing w:after="0" w:before="160" w:line="280" w:lineRule="auto"/>
        <w:ind w:left="200" w:right="120"/>
      </w:pPr>
      <w:r>
        <w:rPr>
          <w:rFonts w:ascii="Plus Jakarta Sans" w:cs="Plus Jakarta Sans" w:eastAsia="Plus Jakarta Sans" w:hAnsi="Plus Jakarta Sans"/>
          <w:b/>
          <w:bCs/>
          <w:caps/>
          <w:color w:val="265147"/>
          <w:spacing w:val="30"/>
          <w:sz w:val="15"/>
          <w:szCs w:val="15"/>
        </w:rPr>
        <w:t xml:space="preserve">Use statement</w:t>
      </w:r>
    </w:p>
    <w:p>
      <w:pPr>
        <w:pBdr>
          <w:left w:val="single" w:color="265147" w:sz="24" w:space="10"/>
        </w:pBdr>
        <w:shd w:fill="D5E3DE" w:color="auto" w:val="clear"/>
        <w:spacing w:after="200" w:before="0" w:line="290" w:lineRule="auto"/>
        <w:ind w:left="200" w:right="120"/>
      </w:pPr>
      <w:r>
        <w:rPr>
          <w:rFonts w:ascii="Plus Jakarta Sans" w:cs="Plus Jakarta Sans" w:eastAsia="Plus Jakarta Sans" w:hAnsi="Plus Jakarta Sans"/>
          <w:color w:val="0E211B"/>
          <w:sz w:val="19"/>
          <w:szCs w:val="19"/>
        </w:rPr>
        <w:t xml:space="preserve">Structured hiring advisory for finance roles. Not a psychometric assessment. Does not predict performance. The decision, and its consequences, rest with the employer.</w:t>
      </w:r>
    </w:p>
    <w:sectPr>
      <w:footerReference w:type="default" r:id="rId6"/>
      <w:pgSz w:w="11906" w:h="16838" w:orient="portrait"/>
      <w:pgMar w:top="1361" w:right="1361" w:bottom="1361" w:left="1361" w:header="708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3DE" w:sz="4" w:space="6"/>
      </w:pBdr>
      <w:spacing w:after="0" w:before="0" w:line="300" w:lineRule="auto"/>
    </w:pPr>
    <w:r>
      <w:rPr>
        <w:rFonts w:ascii="Plus Jakarta Sans" w:cs="Plus Jakarta Sans" w:eastAsia="Plus Jakarta Sans" w:hAnsi="Plus Jakarta Sans"/>
        <w:b/>
        <w:bCs/>
        <w:color w:val="1C3D35"/>
        <w:sz w:val="15"/>
        <w:szCs w:val="15"/>
      </w:rPr>
      <w:t xml:space="preserve">Calibre by Daftar</w:t>
    </w:r>
    <w:r>
      <w:rPr>
        <w:rFonts w:ascii="Plus Jakarta Sans" w:cs="Plus Jakarta Sans" w:eastAsia="Plus Jakarta Sans" w:hAnsi="Plus Jakarta Sans"/>
        <w:color w:val="596B66"/>
        <w:sz w:val="15"/>
        <w:szCs w:val="15"/>
      </w:rPr>
      <w:t xml:space="preserve">  ·  A product of Daftar Advisory · Amman  ·  Panel scoring guide  ·  </w:t>
    </w:r>
    <w:r>
      <w:rPr>
        <w:rFonts w:ascii="Plus Jakarta Sans" w:cs="Plus Jakarta Sans" w:eastAsia="Plus Jakarta Sans" w:hAnsi="Plus Jakarta Sans"/>
        <w:color w:val="596B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color w:val="26514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394740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Lora" w:cs="Lora" w:eastAsia="Lora" w:hAnsi="Lora"/>
      <w:color w:val="0E211B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Plus Jakarta Sans" w:cs="Plus Jakarta Sans" w:eastAsia="Plus Jakarta Sans" w:hAnsi="Plus Jakarta Sans"/>
      <w:b/>
      <w:bCs/>
      <w:color w:val="1C3D3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Panel scoring guide</dc:title>
  <dc:creator>Calibre by Daftar</dc:creator>
  <cp:lastModifiedBy>Un-named</cp:lastModifiedBy>
  <cp:revision>1</cp:revision>
  <dcterms:created xsi:type="dcterms:W3CDTF">2026-10-05T07:48:56.631Z</dcterms:created>
  <dcterms:modified xsi:type="dcterms:W3CDTF">2026-10-05T07:48:56.631Z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