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line="300" w:lineRule="auto"/>
      </w:pPr>
      <w:r>
        <w:rPr>
          <w:rFonts w:ascii="Lora" w:cs="Lora" w:eastAsia="Lora" w:hAnsi="Lora"/>
          <w:i/>
          <w:iCs/>
          <w:color w:val="0E211B"/>
          <w:sz w:val="34"/>
          <w:szCs w:val="34"/>
        </w:rPr>
        <w:t xml:space="preserve">Calibre</w:t>
      </w:r>
      <w:r>
        <w:rPr>
          <w:rFonts w:ascii="Plus Jakarta Sans" w:cs="Plus Jakarta Sans" w:eastAsia="Plus Jakarta Sans" w:hAnsi="Plus Jakarta Sans"/>
          <w:b/>
          <w:bCs/>
          <w:color w:val="596B66"/>
          <w:sz w:val="17"/>
          <w:szCs w:val="17"/>
        </w:rPr>
        <w:t xml:space="preserve">   by Daftar</w:t>
      </w:r>
    </w:p>
    <w:p>
      <w:pPr>
        <w:pBdr>
          <w:left w:val="single" w:color="265147" w:sz="18" w:space="8"/>
        </w:pBdr>
        <w:spacing w:after="220" w:before="0" w:line="300" w:lineRule="auto"/>
        <w:ind w:left="170"/>
      </w:pPr>
      <w:r>
        <w:rPr>
          <w:rFonts w:ascii="Plus Jakarta Sans" w:cs="Plus Jakarta Sans" w:eastAsia="Plus Jakarta Sans" w:hAnsi="Plus Jakarta Sans"/>
          <w:b/>
          <w:bCs/>
          <w:caps/>
          <w:color w:val="265147"/>
          <w:spacing w:val="30"/>
          <w:sz w:val="15"/>
          <w:szCs w:val="15"/>
        </w:rPr>
        <w:t xml:space="preserve">Working template · Role intake and criteria lock</w:t>
      </w:r>
    </w:p>
    <w:p>
      <w:pPr>
        <w:spacing w:after="180" w:before="0" w:line="276" w:lineRule="auto"/>
      </w:pPr>
      <w:r>
        <w:rPr>
          <w:rFonts w:ascii="Lora" w:cs="Lora" w:eastAsia="Lora" w:hAnsi="Lora"/>
          <w:color w:val="0E211B"/>
          <w:sz w:val="46"/>
          <w:szCs w:val="46"/>
        </w:rPr>
        <w:t xml:space="preserve">Role intake and criteria lock</w:t>
      </w:r>
    </w:p>
    <w:p>
      <w:pPr>
        <w:spacing w:after="240" w:before="0" w:line="330" w:lineRule="auto"/>
      </w:pPr>
      <w:r>
        <w:rPr>
          <w:rFonts w:ascii="Lora" w:cs="Lora" w:eastAsia="Lora" w:hAnsi="Lora"/>
          <w:color w:val="394740"/>
          <w:sz w:val="23"/>
          <w:szCs w:val="23"/>
        </w:rPr>
        <w:t xml:space="preserve">Completed on the intake call. Section 06 is the lock: once it is signed, the criteria do not change for the life of the engagement.</w:t>
      </w:r>
    </w:p>
    <w:p>
      <w:pPr>
        <w:keepNext/>
        <w:pBdr>
          <w:left w:val="single" w:color="265147" w:sz="24" w:space="10"/>
        </w:pBdr>
        <w:shd w:fill="F0F5F3" w:color="auto" w:val="clear"/>
        <w:spacing w:after="0" w:before="160" w:line="280" w:lineRule="auto"/>
        <w:ind w:left="200" w:right="120"/>
      </w:pPr>
      <w:r>
        <w:rPr>
          <w:rFonts w:ascii="Plus Jakarta Sans" w:cs="Plus Jakarta Sans" w:eastAsia="Plus Jakarta Sans" w:hAnsi="Plus Jakarta Sans"/>
          <w:b/>
          <w:bCs/>
          <w:caps/>
          <w:color w:val="265147"/>
          <w:spacing w:val="30"/>
          <w:sz w:val="15"/>
          <w:szCs w:val="15"/>
        </w:rPr>
        <w:t xml:space="preserve">Why this form is binding</w:t>
      </w:r>
    </w:p>
    <w:p>
      <w:pPr>
        <w:pBdr>
          <w:left w:val="single" w:color="265147" w:sz="24" w:space="10"/>
        </w:pBdr>
        <w:shd w:fill="F0F5F3"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A Calibre Verdict is defensible because the criteria were agreed before anyone looked at a candidate. If criteria are added, dropped or re-weighted after scoring begins, the Verdict is no longer evidence of a structured process and is not issued.</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01</w:t>
      </w:r>
    </w:p>
    <w:p>
      <w:pPr>
        <w:pStyle w:val="Heading1"/>
        <w:keepNext/>
        <w:pBdr>
          <w:bottom w:val="single" w:color="D5E3DE" w:sz="4" w:space="6"/>
        </w:pBdr>
        <w:spacing w:after="100" w:before="0"/>
      </w:pPr>
      <w:r>
        <w:rPr>
          <w:rFonts w:ascii="Lora" w:cs="Lora" w:eastAsia="Lora" w:hAnsi="Lora"/>
          <w:color w:val="0E211B"/>
          <w:sz w:val="30"/>
          <w:szCs w:val="30"/>
        </w:rPr>
        <w:t xml:space="preserve">Engagement details</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Client entity</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legal name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Hiring lead</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name, title, email</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Decision-maker</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if different from the hiring lead</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Engagement reference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Intake call date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Criteria locked on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see section 06</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Scoring deadline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date by which every panelist submits</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Target Verdict date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ten to twelve business days from criteria lock</w:t>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02</w:t>
      </w:r>
    </w:p>
    <w:p>
      <w:pPr>
        <w:pStyle w:val="Heading1"/>
        <w:keepNext/>
        <w:pBdr>
          <w:bottom w:val="single" w:color="D5E3DE" w:sz="4" w:space="6"/>
        </w:pBdr>
        <w:spacing w:after="100" w:before="0"/>
      </w:pPr>
      <w:r>
        <w:rPr>
          <w:rFonts w:ascii="Lora" w:cs="Lora" w:eastAsia="Lora" w:hAnsi="Lora"/>
          <w:color w:val="0E211B"/>
          <w:sz w:val="30"/>
          <w:szCs w:val="30"/>
        </w:rPr>
        <w:t xml:space="preserve">The role brief</w:t>
      </w:r>
    </w:p>
    <w:p>
      <w:pPr>
        <w:spacing w:after="120" w:before="0" w:line="300" w:lineRule="auto"/>
      </w:pPr>
      <w:r>
        <w:rPr>
          <w:rFonts w:ascii="Plus Jakarta Sans" w:cs="Plus Jakarta Sans" w:eastAsia="Plus Jakarta Sans" w:hAnsi="Plus Jakarta Sans"/>
          <w:color w:val="394740"/>
          <w:sz w:val="19"/>
          <w:szCs w:val="19"/>
        </w:rPr>
        <w:t xml:space="preserve">Four fields, each mandatory. Every Verdict opens with them.</w:t>
      </w:r>
    </w:p>
    <w:p>
      <w:pPr>
        <w:pStyle w:val="Heading2"/>
        <w:keepNext/>
        <w:spacing w:after="80" w:before="200"/>
      </w:pPr>
      <w:r>
        <w:rPr>
          <w:rFonts w:ascii="Plus Jakarta Sans" w:cs="Plus Jakarta Sans" w:eastAsia="Plus Jakarta Sans" w:hAnsi="Plus Jakarta Sans"/>
          <w:b/>
          <w:bCs/>
          <w:color w:val="1C3D35"/>
          <w:sz w:val="20"/>
          <w:szCs w:val="20"/>
        </w:rPr>
        <w:t xml:space="preserve">Seat</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Role title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Reports to</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title and seniority</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Direct reports</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number and seniority</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Entity scope and location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Why the role is open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growth, replacement, restructure</w:t>
            </w:r>
          </w:p>
        </w:tc>
      </w:tr>
    </w:tbl>
    <w:p>
      <w:pPr>
        <w:spacing w:after="0" w:before="0" w:line="160" w:lineRule="auto"/>
      </w:pPr>
      <w:r>
        <w:rPr>
          <w:rFonts w:ascii="Plus Jakarta Sans" w:cs="Plus Jakarta Sans" w:eastAsia="Plus Jakarta Sans" w:hAnsi="Plus Jakarta Sans"/>
          <w:color w:val="394740"/>
          <w:sz w:val="19"/>
          <w:szCs w:val="19"/>
        </w:rPr>
        <w:t xml:space="preserve"/>
      </w:r>
    </w:p>
    <w:p>
      <w:pPr>
        <w:pStyle w:val="Heading2"/>
        <w:keepNext/>
        <w:spacing w:after="80" w:before="200"/>
      </w:pPr>
      <w:r>
        <w:rPr>
          <w:rFonts w:ascii="Plus Jakarta Sans" w:cs="Plus Jakarta Sans" w:eastAsia="Plus Jakarta Sans" w:hAnsi="Plus Jakarta Sans"/>
          <w:b/>
          <w:bCs/>
          <w:color w:val="1C3D35"/>
          <w:sz w:val="20"/>
          <w:szCs w:val="20"/>
        </w:rPr>
        <w:t xml:space="preserve">First-year outcomes</w:t>
      </w:r>
    </w:p>
    <w:p>
      <w:pPr>
        <w:spacing w:after="120" w:before="0" w:line="300" w:lineRule="auto"/>
      </w:pPr>
      <w:r>
        <w:rPr>
          <w:rFonts w:ascii="Plus Jakarta Sans" w:cs="Plus Jakarta Sans" w:eastAsia="Plus Jakarta Sans" w:hAnsi="Plus Jakarta Sans"/>
          <w:color w:val="394740"/>
          <w:sz w:val="19"/>
          <w:szCs w:val="19"/>
        </w:rPr>
        <w:t xml:space="preserve">Three to five things that must be true twelve months in.</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700"/>
        <w:gridCol w:w="8484"/>
      </w:tblGrid>
      <w:tr>
        <w:trPr>
          <w:cantSplit/>
          <w:tblHeader/>
        </w:trPr>
        <w:tc>
          <w:tcPr>
            <w:tcW w:type="dxa" w:w="7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w:t>
            </w:r>
          </w:p>
        </w:tc>
        <w:tc>
          <w:tcPr>
            <w:tcW w:type="dxa" w:w="84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Outcome</w:t>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1</w:t>
            </w:r>
          </w:p>
        </w:tc>
        <w:tc>
          <w:tcPr>
            <w:tcW w:type="dxa" w:w="8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2</w:t>
            </w:r>
          </w:p>
        </w:tc>
        <w:tc>
          <w:tcPr>
            <w:tcW w:type="dxa" w:w="8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3</w:t>
            </w:r>
          </w:p>
        </w:tc>
        <w:tc>
          <w:tcPr>
            <w:tcW w:type="dxa" w:w="8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4</w:t>
            </w:r>
          </w:p>
        </w:tc>
        <w:tc>
          <w:tcPr>
            <w:tcW w:type="dxa" w:w="8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5</w:t>
            </w:r>
          </w:p>
        </w:tc>
        <w:tc>
          <w:tcPr>
            <w:tcW w:type="dxa" w:w="8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pBdr>
          <w:left w:val="single" w:color="596B66" w:sz="24" w:space="10"/>
        </w:pBdr>
        <w:shd w:fill="F6F7F8" w:color="auto" w:val="clear"/>
        <w:spacing w:after="0" w:before="160" w:line="280" w:lineRule="auto"/>
        <w:ind w:left="200" w:right="120"/>
      </w:pPr>
      <w:r>
        <w:rPr>
          <w:rFonts w:ascii="Plus Jakarta Sans" w:cs="Plus Jakarta Sans" w:eastAsia="Plus Jakarta Sans" w:hAnsi="Plus Jakarta Sans"/>
          <w:b/>
          <w:bCs/>
          <w:caps/>
          <w:color w:val="596B66"/>
          <w:spacing w:val="30"/>
          <w:sz w:val="15"/>
          <w:szCs w:val="15"/>
        </w:rPr>
        <w:t xml:space="preserve">Stop rule</w:t>
      </w:r>
    </w:p>
    <w:p>
      <w:pPr>
        <w:pBdr>
          <w:left w:val="single" w:color="596B66" w:sz="24" w:space="10"/>
        </w:pBdr>
        <w:shd w:fill="F6F7F8"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If the client cannot state what the first twelve months must deliver, the criteria cannot be locked. Stop and reschedule rather than proceed on a guess.</w:t>
      </w:r>
    </w:p>
    <w:p>
      <w:pPr>
        <w:pStyle w:val="Heading2"/>
        <w:keepNext/>
        <w:spacing w:after="80" w:before="200"/>
      </w:pPr>
      <w:r>
        <w:rPr>
          <w:rFonts w:ascii="Plus Jakarta Sans" w:cs="Plus Jakarta Sans" w:eastAsia="Plus Jakarta Sans" w:hAnsi="Plus Jakarta Sans"/>
          <w:b/>
          <w:bCs/>
          <w:color w:val="1C3D35"/>
          <w:sz w:val="20"/>
          <w:szCs w:val="20"/>
        </w:rPr>
        <w:t xml:space="preserve">What makes this hire hard</w:t>
      </w:r>
    </w:p>
    <w:p>
      <w:pPr>
        <w:spacing w:after="120" w:before="0" w:line="300" w:lineRule="auto"/>
      </w:pPr>
      <w:r>
        <w:rPr>
          <w:rFonts w:ascii="Plus Jakarta Sans" w:cs="Plus Jakarta Sans" w:eastAsia="Plus Jakarta Sans" w:hAnsi="Plus Jakarta Sans"/>
          <w:i/>
          <w:iCs/>
          <w:color w:val="596B66"/>
          <w:sz w:val="17"/>
          <w:szCs w:val="17"/>
        </w:rPr>
        <w:t xml:space="preserve">For example: a first year under IFRS, open audit findings, IPO preparation, an ERP change, a departing incumbent.</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3400"/>
        <w:gridCol w:w="5784"/>
      </w:tblGrid>
      <w:tr>
        <w:trPr>
          <w:cantSplit/>
          <w:tblHeader/>
        </w:trPr>
        <w:tc>
          <w:tcPr>
            <w:tcW w:type="dxa" w:w="34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Factor</w:t>
            </w:r>
          </w:p>
        </w:tc>
        <w:tc>
          <w:tcPr>
            <w:tcW w:type="dxa" w:w="57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Client answer</w:t>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Entity stage and size</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Sector</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Jurisdiction(s) and tax regime</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Reporting framework</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ERP and reporting stack</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Audit status and auditor</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Group or consolidation complexity</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
            </w:r>
          </w:p>
        </w:tc>
      </w:tr>
      <w:tr>
        <w:trPr>
          <w:cantSplit/>
        </w:trPr>
        <w:tc>
          <w:tcPr>
            <w:tcW w:type="dxa" w:w="34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Known constraints</w:t>
            </w:r>
          </w:p>
        </w:tc>
        <w:tc>
          <w:tcPr>
            <w:tcW w:type="dxa" w:w="57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budget, timing, right to work</w:t>
            </w:r>
          </w:p>
        </w:tc>
      </w:tr>
    </w:tbl>
    <w:p>
      <w:pPr>
        <w:spacing w:after="0" w:before="0" w:line="160" w:lineRule="auto"/>
      </w:pPr>
      <w:r>
        <w:rPr>
          <w:rFonts w:ascii="Plus Jakarta Sans" w:cs="Plus Jakarta Sans" w:eastAsia="Plus Jakarta Sans" w:hAnsi="Plus Jakarta Sans"/>
          <w:color w:val="394740"/>
          <w:sz w:val="19"/>
          <w:szCs w:val="19"/>
        </w:rPr>
        <w:t xml:space="preserve"/>
      </w:r>
    </w:p>
    <w:p>
      <w:pPr>
        <w:pStyle w:val="Heading2"/>
        <w:keepNext/>
        <w:spacing w:after="80" w:before="200"/>
      </w:pPr>
      <w:r>
        <w:rPr>
          <w:rFonts w:ascii="Plus Jakarta Sans" w:cs="Plus Jakarta Sans" w:eastAsia="Plus Jakarta Sans" w:hAnsi="Plus Jakarta Sans"/>
          <w:b/>
          <w:bCs/>
          <w:color w:val="1C3D35"/>
          <w:sz w:val="20"/>
          <w:szCs w:val="20"/>
        </w:rPr>
        <w:t xml:space="preserve">Non-negotiables</w:t>
      </w:r>
    </w:p>
    <w:p>
      <w:pPr>
        <w:spacing w:after="120" w:before="0" w:line="300" w:lineRule="auto"/>
      </w:pPr>
      <w:r>
        <w:rPr>
          <w:rFonts w:ascii="Plus Jakarta Sans" w:cs="Plus Jakarta Sans" w:eastAsia="Plus Jakarta Sans" w:hAnsi="Plus Jakarta Sans"/>
          <w:color w:val="394740"/>
          <w:sz w:val="19"/>
          <w:szCs w:val="19"/>
        </w:rPr>
        <w:t xml:space="preserve">Job-related and verifiable only: a qualification, a language, the right to work.</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700"/>
        <w:gridCol w:w="4600"/>
        <w:gridCol w:w="3884"/>
      </w:tblGrid>
      <w:tr>
        <w:trPr>
          <w:cantSplit/>
          <w:tblHeader/>
        </w:trPr>
        <w:tc>
          <w:tcPr>
            <w:tcW w:type="dxa" w:w="7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w:t>
            </w:r>
          </w:p>
        </w:tc>
        <w:tc>
          <w:tcPr>
            <w:tcW w:type="dxa" w:w="46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Non-negotiable</w:t>
            </w:r>
          </w:p>
        </w:tc>
        <w:tc>
          <w:tcPr>
            <w:tcW w:type="dxa" w:w="38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How it is verified</w:t>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1</w:t>
            </w:r>
          </w:p>
        </w:tc>
        <w:tc>
          <w:tcPr>
            <w:tcW w:type="dxa" w:w="4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38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2</w:t>
            </w:r>
          </w:p>
        </w:tc>
        <w:tc>
          <w:tcPr>
            <w:tcW w:type="dxa" w:w="4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38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3</w:t>
            </w:r>
          </w:p>
        </w:tc>
        <w:tc>
          <w:tcPr>
            <w:tcW w:type="dxa" w:w="4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38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pBdr>
          <w:left w:val="single" w:color="596B66" w:sz="24" w:space="10"/>
        </w:pBdr>
        <w:shd w:fill="F6F7F8" w:color="auto" w:val="clear"/>
        <w:spacing w:after="0" w:before="160" w:line="280" w:lineRule="auto"/>
        <w:ind w:left="200" w:right="120"/>
      </w:pPr>
      <w:r>
        <w:rPr>
          <w:rFonts w:ascii="Plus Jakarta Sans" w:cs="Plus Jakarta Sans" w:eastAsia="Plus Jakarta Sans" w:hAnsi="Plus Jakarta Sans"/>
          <w:b/>
          <w:bCs/>
          <w:caps/>
          <w:color w:val="596B66"/>
          <w:spacing w:val="30"/>
          <w:sz w:val="15"/>
          <w:szCs w:val="15"/>
        </w:rPr>
        <w:t xml:space="preserve">Never a non-negotiable</w:t>
      </w:r>
    </w:p>
    <w:p>
      <w:pPr>
        <w:pBdr>
          <w:left w:val="single" w:color="596B66" w:sz="24" w:space="10"/>
        </w:pBdr>
        <w:shd w:fill="F6F7F8"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Personality, age, family status, health, nationality beyond the right to work, religion, or any other protected characteristic.</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03</w:t>
      </w:r>
    </w:p>
    <w:p>
      <w:pPr>
        <w:pStyle w:val="Heading1"/>
        <w:keepNext/>
        <w:pBdr>
          <w:bottom w:val="single" w:color="D5E3DE" w:sz="4" w:space="6"/>
        </w:pBdr>
        <w:spacing w:after="100" w:before="0"/>
      </w:pPr>
      <w:r>
        <w:rPr>
          <w:rFonts w:ascii="Lora" w:cs="Lora" w:eastAsia="Lora" w:hAnsi="Lora"/>
          <w:color w:val="0E211B"/>
          <w:sz w:val="30"/>
          <w:szCs w:val="30"/>
        </w:rPr>
        <w:t xml:space="preserve">The panel</w:t>
      </w:r>
    </w:p>
    <w:p>
      <w:pPr>
        <w:spacing w:after="120" w:before="0" w:line="300" w:lineRule="auto"/>
      </w:pPr>
      <w:r>
        <w:rPr>
          <w:rFonts w:ascii="Plus Jakarta Sans" w:cs="Plus Jakarta Sans" w:eastAsia="Plus Jakarta Sans" w:hAnsi="Plus Jakarta Sans"/>
          <w:color w:val="394740"/>
          <w:sz w:val="19"/>
          <w:szCs w:val="19"/>
        </w:rPr>
        <w:t xml:space="preserve">Two to five panelists. One is the hiring lead. Each panelist scores every finalist independently and does not discuss finalists with other panelists between interview and submission. The hiring lead attests to this in the Verdict.</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800"/>
        <w:gridCol w:w="2600"/>
        <w:gridCol w:w="2300"/>
        <w:gridCol w:w="2384"/>
        <w:gridCol w:w="1100"/>
      </w:tblGrid>
      <w:tr>
        <w:trPr>
          <w:cantSplit/>
          <w:tblHeader/>
        </w:trPr>
        <w:tc>
          <w:tcPr>
            <w:tcW w:type="dxa" w:w="8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Ref</w:t>
            </w:r>
          </w:p>
        </w:tc>
        <w:tc>
          <w:tcPr>
            <w:tcW w:type="dxa" w:w="26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Name</w:t>
            </w:r>
          </w:p>
        </w:tc>
        <w:tc>
          <w:tcPr>
            <w:tcW w:type="dxa" w:w="23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Title</w:t>
            </w:r>
          </w:p>
        </w:tc>
        <w:tc>
          <w:tcPr>
            <w:tcW w:type="dxa" w:w="23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Email</w:t>
            </w:r>
          </w:p>
        </w:tc>
        <w:tc>
          <w:tcPr>
            <w:tcW w:type="dxa" w:w="11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Hiring lead</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P1</w:t>
            </w:r>
          </w:p>
        </w:tc>
        <w:tc>
          <w:tcPr>
            <w:tcW w:type="dxa" w:w="2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Yes / No</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P2</w:t>
            </w:r>
          </w:p>
        </w:tc>
        <w:tc>
          <w:tcPr>
            <w:tcW w:type="dxa" w:w="2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Yes / No</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P3</w:t>
            </w:r>
          </w:p>
        </w:tc>
        <w:tc>
          <w:tcPr>
            <w:tcW w:type="dxa" w:w="2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Yes / No</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P4</w:t>
            </w:r>
          </w:p>
        </w:tc>
        <w:tc>
          <w:tcPr>
            <w:tcW w:type="dxa" w:w="2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Yes / No</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P5</w:t>
            </w:r>
          </w:p>
        </w:tc>
        <w:tc>
          <w:tcPr>
            <w:tcW w:type="dxa" w:w="26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Yes / No</w:t>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04</w:t>
      </w:r>
    </w:p>
    <w:p>
      <w:pPr>
        <w:pStyle w:val="Heading1"/>
        <w:keepNext/>
        <w:pBdr>
          <w:bottom w:val="single" w:color="D5E3DE" w:sz="4" w:space="6"/>
        </w:pBdr>
        <w:spacing w:after="100" w:before="0"/>
      </w:pPr>
      <w:r>
        <w:rPr>
          <w:rFonts w:ascii="Lora" w:cs="Lora" w:eastAsia="Lora" w:hAnsi="Lora"/>
          <w:color w:val="0E211B"/>
          <w:sz w:val="30"/>
          <w:szCs w:val="30"/>
        </w:rPr>
        <w:t xml:space="preserve">Criteria and weightings</w:t>
      </w:r>
    </w:p>
    <w:p>
      <w:pPr>
        <w:spacing w:after="120" w:before="0" w:line="300" w:lineRule="auto"/>
      </w:pPr>
      <w:r>
        <w:rPr>
          <w:rFonts w:ascii="Plus Jakarta Sans" w:cs="Plus Jakarta Sans" w:eastAsia="Plus Jakarta Sans" w:hAnsi="Plus Jakarta Sans"/>
          <w:color w:val="394740"/>
          <w:sz w:val="19"/>
          <w:szCs w:val="19"/>
        </w:rPr>
        <w:t xml:space="preserve">The default finance rubric carries nine criteria. Amend the wording, the must or preferred designation and the weightings on this call. Keep between four and nine criteria. Weightings are whole numbers and must total 100.</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800"/>
        <w:gridCol w:w="5184"/>
        <w:gridCol w:w="1900"/>
        <w:gridCol w:w="1300"/>
      </w:tblGrid>
      <w:tr>
        <w:trPr>
          <w:cantSplit/>
          <w:tblHeader/>
        </w:trPr>
        <w:tc>
          <w:tcPr>
            <w:tcW w:type="dxa" w:w="8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Ref</w:t>
            </w:r>
          </w:p>
        </w:tc>
        <w:tc>
          <w:tcPr>
            <w:tcW w:type="dxa" w:w="51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Criterion</w:t>
            </w:r>
          </w:p>
        </w:tc>
        <w:tc>
          <w:tcPr>
            <w:tcW w:type="dxa" w:w="19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Must / Preferred</w:t>
            </w:r>
          </w:p>
        </w:tc>
        <w:tc>
          <w:tcPr>
            <w:tcW w:type="dxa" w:w="13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Weight %</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C1</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Technical accounting and IFRS application</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15</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C2</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Financial reporting and close ownership</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15</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C3</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Controls, compliance and audit readiness</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12</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C4</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Planning, budgeting and forecasting</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12</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C5</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Cash, treasury and working capital</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Preferred</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8</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C6</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Systems, data and reporting tooling</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10</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C7</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Team leadership and delegation</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Preferred</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10</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C8</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Stakeholder communication and reporting</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Must</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10</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C9</w:t>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Jurisdictional and regulatory exposure</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Preferred</w:t>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8</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
            </w:r>
          </w:p>
        </w:tc>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Total</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100</w:t>
            </w:r>
          </w:p>
        </w:tc>
      </w:tr>
    </w:tbl>
    <w:p>
      <w:pPr>
        <w:spacing w:after="0" w:before="0" w:line="160" w:lineRule="auto"/>
      </w:pPr>
      <w:r>
        <w:rPr>
          <w:rFonts w:ascii="Plus Jakarta Sans" w:cs="Plus Jakarta Sans" w:eastAsia="Plus Jakarta Sans" w:hAnsi="Plus Jakarta Sans"/>
          <w:color w:val="394740"/>
          <w:sz w:val="19"/>
          <w:szCs w:val="19"/>
        </w:rPr>
        <w:t xml:space="preserve"/>
      </w:r>
    </w:p>
    <w:p>
      <w:pPr>
        <w:spacing w:after="120" w:before="0" w:line="300" w:lineRule="auto"/>
      </w:pPr>
      <w:r>
        <w:rPr>
          <w:rFonts w:ascii="Plus Jakarta Sans" w:cs="Plus Jakarta Sans" w:eastAsia="Plus Jakarta Sans" w:hAnsi="Plus Jakarta Sans"/>
          <w:i/>
          <w:iCs/>
          <w:color w:val="596B66"/>
          <w:sz w:val="17"/>
          <w:szCs w:val="17"/>
        </w:rPr>
        <w:t xml:space="preserve">Anchor definitions for each criterion are on sheet 01 of the working file. Read them aloud on the call: a criterion the client cannot describe at anchor 5 is one they do not actually need. No criterion may touch personality, health or a protected characteristic.</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05</w:t>
      </w:r>
    </w:p>
    <w:p>
      <w:pPr>
        <w:pStyle w:val="Heading1"/>
        <w:keepNext/>
        <w:pBdr>
          <w:bottom w:val="single" w:color="D5E3DE" w:sz="4" w:space="6"/>
        </w:pBdr>
        <w:spacing w:after="100" w:before="0"/>
      </w:pPr>
      <w:r>
        <w:rPr>
          <w:rFonts w:ascii="Lora" w:cs="Lora" w:eastAsia="Lora" w:hAnsi="Lora"/>
          <w:color w:val="0E211B"/>
          <w:sz w:val="30"/>
          <w:szCs w:val="30"/>
        </w:rPr>
        <w:t xml:space="preserve">Evidence the client will supply</w:t>
      </w:r>
    </w:p>
    <w:p>
      <w:pPr>
        <w:spacing w:after="120" w:before="0" w:line="300" w:lineRule="auto"/>
      </w:pPr>
      <w:r>
        <w:rPr>
          <w:rFonts w:ascii="Plus Jakarta Sans" w:cs="Plus Jakarta Sans" w:eastAsia="Plus Jakarta Sans" w:hAnsi="Plus Jakarta Sans"/>
          <w:color w:val="394740"/>
          <w:sz w:val="19"/>
          <w:szCs w:val="19"/>
        </w:rPr>
        <w:t xml:space="preserve">Calibre reviews only the evidence supplied. Anything not listed here is recorded in the Verdict as a gap.</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5184"/>
        <w:gridCol w:w="1900"/>
        <w:gridCol w:w="2100"/>
      </w:tblGrid>
      <w:tr>
        <w:trPr>
          <w:cantSplit/>
          <w:tblHeader/>
        </w:trPr>
        <w:tc>
          <w:tcPr>
            <w:tcW w:type="dxa" w:w="51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Evidence</w:t>
            </w:r>
          </w:p>
        </w:tc>
        <w:tc>
          <w:tcPr>
            <w:tcW w:type="dxa" w:w="19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Supplied (Y/N)</w:t>
            </w:r>
          </w:p>
        </w:tc>
        <w:tc>
          <w:tcPr>
            <w:tcW w:type="dxa" w:w="21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Date received</w:t>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CVs for all finalists</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Interview notes, per panelist</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Interview scores or ratings, if any</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Technical test or work product</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Job description as advertised</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51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Other material</w:t>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21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06</w:t>
      </w:r>
    </w:p>
    <w:p>
      <w:pPr>
        <w:pStyle w:val="Heading1"/>
        <w:keepNext/>
        <w:pBdr>
          <w:bottom w:val="single" w:color="D5E3DE" w:sz="4" w:space="6"/>
        </w:pBdr>
        <w:spacing w:after="100" w:before="0"/>
      </w:pPr>
      <w:r>
        <w:rPr>
          <w:rFonts w:ascii="Lora" w:cs="Lora" w:eastAsia="Lora" w:hAnsi="Lora"/>
          <w:color w:val="0E211B"/>
          <w:sz w:val="30"/>
          <w:szCs w:val="30"/>
        </w:rPr>
        <w:t xml:space="preserve">The lock</w:t>
      </w:r>
    </w:p>
    <w:p>
      <w:pPr>
        <w:spacing w:after="120" w:before="0" w:line="300" w:lineRule="auto"/>
      </w:pPr>
      <w:r>
        <w:rPr>
          <w:rFonts w:ascii="Plus Jakarta Sans" w:cs="Plus Jakarta Sans" w:eastAsia="Plus Jakarta Sans" w:hAnsi="Plus Jakarta Sans"/>
          <w:color w:val="394740"/>
          <w:sz w:val="19"/>
          <w:szCs w:val="19"/>
        </w:rPr>
        <w:t xml:space="preserve">By signing below, the client confirms that the role brief in section 02 and the criteria and weightings in section 04 are complete and final, and that the panel may begin scoring.</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Criteria locked on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date and time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Client signature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Name and title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Calibre lead</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300" w:lineRule="auto"/>
            </w:pPr>
            <w:r>
              <w:rPr>
                <w:rFonts w:ascii="Plus Jakarta Sans" w:cs="Plus Jakarta Sans" w:eastAsia="Plus Jakarta Sans" w:hAnsi="Plus Jakarta Sans"/>
                <w:i/>
                <w:iCs/>
                <w:color w:val="596B66"/>
                <w:sz w:val="19"/>
                <w:szCs w:val="19"/>
              </w:rPr>
              <w:t xml:space="preserve"/>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pBdr>
          <w:left w:val="single" w:color="265147" w:sz="24" w:space="10"/>
        </w:pBdr>
        <w:shd w:fill="F0F5F3" w:color="auto" w:val="clear"/>
        <w:spacing w:after="0" w:before="160" w:line="280" w:lineRule="auto"/>
        <w:ind w:left="200" w:right="120"/>
      </w:pPr>
      <w:r>
        <w:rPr>
          <w:rFonts w:ascii="Plus Jakarta Sans" w:cs="Plus Jakarta Sans" w:eastAsia="Plus Jakarta Sans" w:hAnsi="Plus Jakarta Sans"/>
          <w:b/>
          <w:bCs/>
          <w:caps/>
          <w:color w:val="265147"/>
          <w:spacing w:val="30"/>
          <w:sz w:val="15"/>
          <w:szCs w:val="15"/>
        </w:rPr>
        <w:t xml:space="preserve">If the criteria change after the lock</w:t>
      </w:r>
    </w:p>
    <w:p>
      <w:pPr>
        <w:pBdr>
          <w:left w:val="single" w:color="265147" w:sz="24" w:space="10"/>
        </w:pBdr>
        <w:shd w:fill="F0F5F3" w:color="auto" w:val="clear"/>
        <w:spacing w:after="60" w:before="0" w:line="290" w:lineRule="auto"/>
        <w:ind w:left="200" w:right="120"/>
      </w:pPr>
      <w:r>
        <w:rPr>
          <w:rFonts w:ascii="Plus Jakarta Sans" w:cs="Plus Jakarta Sans" w:eastAsia="Plus Jakarta Sans" w:hAnsi="Plus Jakarta Sans"/>
          <w:color w:val="0E211B"/>
          <w:sz w:val="19"/>
          <w:szCs w:val="19"/>
        </w:rPr>
        <w:t xml:space="preserve">Before the first score is submitted, an amendment is allowed: record who, when, what changed and why, and sign again.</w:t>
      </w:r>
    </w:p>
    <w:p>
      <w:pPr>
        <w:pBdr>
          <w:left w:val="single" w:color="265147" w:sz="24" w:space="10"/>
        </w:pBdr>
        <w:shd w:fill="F0F5F3"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After the first score, the criteria are frozen. A change means a new rubric version: submitted scores are voided but kept in the record, scoring restarts, and the re-run is quoted separately. Never re-weight silently.</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07</w:t>
      </w:r>
    </w:p>
    <w:p>
      <w:pPr>
        <w:pStyle w:val="Heading1"/>
        <w:keepNext/>
        <w:pBdr>
          <w:bottom w:val="single" w:color="D5E3DE" w:sz="4" w:space="6"/>
        </w:pBdr>
        <w:spacing w:after="100" w:before="0"/>
      </w:pPr>
      <w:r>
        <w:rPr>
          <w:rFonts w:ascii="Lora" w:cs="Lora" w:eastAsia="Lora" w:hAnsi="Lora"/>
          <w:color w:val="0E211B"/>
          <w:sz w:val="30"/>
          <w:szCs w:val="30"/>
        </w:rPr>
        <w:t xml:space="preserve">Shortlist register</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800"/>
        <w:gridCol w:w="3200"/>
        <w:gridCol w:w="1900"/>
        <w:gridCol w:w="1900"/>
        <w:gridCol w:w="1384"/>
      </w:tblGrid>
      <w:tr>
        <w:trPr>
          <w:cantSplit/>
          <w:tblHeader/>
        </w:trPr>
        <w:tc>
          <w:tcPr>
            <w:tcW w:type="dxa" w:w="8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Ref</w:t>
            </w:r>
          </w:p>
        </w:tc>
        <w:tc>
          <w:tcPr>
            <w:tcW w:type="dxa" w:w="32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Candidate name</w:t>
            </w:r>
          </w:p>
        </w:tc>
        <w:tc>
          <w:tcPr>
            <w:tcW w:type="dxa" w:w="19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Source</w:t>
            </w:r>
          </w:p>
        </w:tc>
        <w:tc>
          <w:tcPr>
            <w:tcW w:type="dxa" w:w="19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Notice sent (date)</w:t>
            </w:r>
          </w:p>
        </w:tc>
        <w:tc>
          <w:tcPr>
            <w:tcW w:type="dxa" w:w="13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Evidence complete</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K1</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K2</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K3</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K4</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K5</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r>
        <w:trPr>
          <w:cantSplit/>
        </w:trPr>
        <w:tc>
          <w:tcPr>
            <w:tcW w:type="dxa" w:w="8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K6</w:t>
            </w:r>
          </w:p>
        </w:tc>
        <w:tc>
          <w:tcPr>
            <w:tcW w:type="dxa" w:w="32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c>
          <w:tcPr>
            <w:tcW w:type="dxa" w:w="13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596B66"/>
                <w:sz w:val="19"/>
                <w:szCs w:val="19"/>
              </w:rPr>
              <w:t xml:space="preserve">Y / N</w:t>
            </w:r>
          </w:p>
        </w:tc>
      </w:tr>
    </w:tbl>
    <w:p>
      <w:pPr>
        <w:spacing w:after="0" w:before="0" w:line="160" w:lineRule="auto"/>
      </w:pPr>
      <w:r>
        <w:rPr>
          <w:rFonts w:ascii="Plus Jakarta Sans" w:cs="Plus Jakarta Sans" w:eastAsia="Plus Jakarta Sans" w:hAnsi="Plus Jakarta Sans"/>
          <w:color w:val="394740"/>
          <w:sz w:val="19"/>
          <w:szCs w:val="19"/>
        </w:rPr>
        <w:t xml:space="preserve"/>
      </w:r>
    </w:p>
    <w:p>
      <w:pPr>
        <w:spacing w:after="120" w:before="0" w:line="300" w:lineRule="auto"/>
      </w:pPr>
      <w:r>
        <w:rPr>
          <w:rFonts w:ascii="Plus Jakarta Sans" w:cs="Plus Jakarta Sans" w:eastAsia="Plus Jakarta Sans" w:hAnsi="Plus Jakarta Sans"/>
          <w:i/>
          <w:iCs/>
          <w:color w:val="596B66"/>
          <w:sz w:val="17"/>
          <w:szCs w:val="17"/>
        </w:rPr>
        <w:t xml:space="preserve">Four finalists are included in the fee. A fifth or sixth is quoted before start. References K1 to K6 are used throughout the working file and the Verdict, and candidates always appear in this order, never sorted by score.</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08</w:t>
      </w:r>
    </w:p>
    <w:p>
      <w:pPr>
        <w:pStyle w:val="Heading1"/>
        <w:keepNext/>
        <w:pBdr>
          <w:bottom w:val="single" w:color="D5E3DE" w:sz="4" w:space="6"/>
        </w:pBdr>
        <w:spacing w:after="100" w:before="0"/>
      </w:pPr>
      <w:r>
        <w:rPr>
          <w:rFonts w:ascii="Lora" w:cs="Lora" w:eastAsia="Lora" w:hAnsi="Lora"/>
          <w:color w:val="0E211B"/>
          <w:sz w:val="30"/>
          <w:szCs w:val="30"/>
        </w:rPr>
        <w:t xml:space="preserve">Candidate notice and use policy</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The client sends each finalist the Calibre candidate notice before their information is used, and records the date in section 07. The notice template and data record are in the Calibre Candidate Notice and Data Record.</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Candidate personal data is deleted 90 days after the Verdict is issued unless the engagement letter sets another lawful schedule. Initials and scores are kept for the outcome register.</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Reasonable adjustments are recorded separately. The reason never appears in the rubric, the scores or the Verdict.</w:t>
      </w:r>
    </w:p>
    <w:p>
      <w:pPr>
        <w:spacing w:after="120" w:before="120" w:line="300" w:lineRule="auto"/>
      </w:pPr>
      <w:r>
        <w:rPr>
          <w:rFonts w:ascii="Plus Jakarta Sans" w:cs="Plus Jakarta Sans" w:eastAsia="Plus Jakarta Sans" w:hAnsi="Plus Jakarta Sans"/>
          <w:color w:val="394740"/>
          <w:sz w:val="19"/>
          <w:szCs w:val="19"/>
        </w:rPr>
        <w:t xml:space="preserve">The client has read and accepts the Calibre allowed and prohibited use policy. Calibre is never used to screen applicants before a shortlist exists, to reject a candidate automatically or on a score alone, to produce an overall fit score, pass mark or hire label, to assess any protected characteristic, or to decide about existing employees.</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Accepted by</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Date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09</w:t>
      </w:r>
    </w:p>
    <w:p>
      <w:pPr>
        <w:pStyle w:val="Heading1"/>
        <w:keepNext/>
        <w:pBdr>
          <w:bottom w:val="single" w:color="D5E3DE" w:sz="4" w:space="6"/>
        </w:pBdr>
        <w:spacing w:after="100" w:before="0"/>
      </w:pPr>
      <w:r>
        <w:rPr>
          <w:rFonts w:ascii="Lora" w:cs="Lora" w:eastAsia="Lora" w:hAnsi="Lora"/>
          <w:color w:val="0E211B"/>
          <w:sz w:val="30"/>
          <w:szCs w:val="30"/>
        </w:rPr>
        <w:t xml:space="preserve">Out of scope, acknowledged</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Candidate sourcing</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Interview scheduling</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Reference checks</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Psychometric or personality testing</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Work-style, culture or fit assessment</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Automated candidate ranking</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Offer negotiation</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The hiring decision itself</w:t>
      </w:r>
    </w:p>
    <w:p>
      <w:pPr>
        <w:pBdr>
          <w:left w:val="single" w:color="265147" w:sz="24" w:space="10"/>
        </w:pBdr>
        <w:shd w:fill="F0F5F3" w:color="auto" w:val="clear"/>
        <w:spacing w:after="200" w:before="160" w:line="290" w:lineRule="auto"/>
        <w:ind w:left="200" w:right="120"/>
      </w:pPr>
      <w:r>
        <w:rPr>
          <w:rFonts w:ascii="Plus Jakarta Sans" w:cs="Plus Jakarta Sans" w:eastAsia="Plus Jakarta Sans" w:hAnsi="Plus Jakarta Sans"/>
          <w:color w:val="0E211B"/>
          <w:sz w:val="19"/>
          <w:szCs w:val="19"/>
        </w:rPr>
        <w:t xml:space="preserve">Calibre provides the record. The employer retains the decision.</w:t>
      </w:r>
    </w:p>
    <w:p>
      <w:pPr>
        <w:keepNext/>
        <w:pBdr>
          <w:left w:val="single" w:color="265147" w:sz="24" w:space="10"/>
        </w:pBdr>
        <w:shd w:fill="D5E3DE" w:color="auto" w:val="clear"/>
        <w:spacing w:after="0" w:before="160" w:line="280" w:lineRule="auto"/>
        <w:ind w:left="200" w:right="120"/>
      </w:pPr>
      <w:r>
        <w:rPr>
          <w:rFonts w:ascii="Plus Jakarta Sans" w:cs="Plus Jakarta Sans" w:eastAsia="Plus Jakarta Sans" w:hAnsi="Plus Jakarta Sans"/>
          <w:b/>
          <w:bCs/>
          <w:caps/>
          <w:color w:val="265147"/>
          <w:spacing w:val="30"/>
          <w:sz w:val="15"/>
          <w:szCs w:val="15"/>
        </w:rPr>
        <w:t xml:space="preserve">Use statement</w:t>
      </w:r>
    </w:p>
    <w:p>
      <w:pPr>
        <w:pBdr>
          <w:left w:val="single" w:color="265147" w:sz="24" w:space="10"/>
        </w:pBdr>
        <w:shd w:fill="D5E3DE"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Structured hiring advisory for finance roles. Not a psychometric assessment. Does not predict performance. The decision, and its consequences, rest with the employer.</w:t>
      </w:r>
    </w:p>
    <w:sectPr>
      <w:footerReference w:type="default" r:id="rId6"/>
      <w:pgSz w:w="11906" w:h="16838" w:orient="portrait"/>
      <w:pgMar w:top="1361" w:right="1361" w:bottom="1361" w:left="1361"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DE" w:sz="4" w:space="6"/>
      </w:pBdr>
      <w:spacing w:after="0" w:before="0" w:line="300" w:lineRule="auto"/>
    </w:pPr>
    <w:r>
      <w:rPr>
        <w:rFonts w:ascii="Plus Jakarta Sans" w:cs="Plus Jakarta Sans" w:eastAsia="Plus Jakarta Sans" w:hAnsi="Plus Jakarta Sans"/>
        <w:b/>
        <w:bCs/>
        <w:color w:val="1C3D35"/>
        <w:sz w:val="15"/>
        <w:szCs w:val="15"/>
      </w:rPr>
      <w:t xml:space="preserve">Calibre by Daftar</w:t>
    </w:r>
    <w:r>
      <w:rPr>
        <w:rFonts w:ascii="Plus Jakarta Sans" w:cs="Plus Jakarta Sans" w:eastAsia="Plus Jakarta Sans" w:hAnsi="Plus Jakarta Sans"/>
        <w:color w:val="596B66"/>
        <w:sz w:val="15"/>
        <w:szCs w:val="15"/>
      </w:rPr>
      <w:t xml:space="preserve">  ·  A product of Daftar Advisory · Amman  ·  Role intake and criteria lock  ·  </w:t>
    </w:r>
    <w:r>
      <w:rPr>
        <w:rFonts w:ascii="Plus Jakarta Sans" w:cs="Plus Jakarta Sans" w:eastAsia="Plus Jakarta Sans" w:hAnsi="Plus Jakarta Sans"/>
        <w:color w:val="596B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6514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394740"/>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Lora" w:cs="Lora" w:eastAsia="Lora" w:hAnsi="Lora"/>
      <w:color w:val="0E211B"/>
      <w:sz w:val="30"/>
      <w:szCs w:val="30"/>
    </w:rPr>
  </w:style>
  <w:style w:type="paragraph" w:styleId="Heading2">
    <w:name w:val="Heading 2"/>
    <w:basedOn w:val="Normal"/>
    <w:next w:val="Normal"/>
    <w:qFormat/>
    <w:pPr>
      <w:outlineLvl w:val="1"/>
    </w:pPr>
    <w:rPr>
      <w:rFonts w:ascii="Plus Jakarta Sans" w:cs="Plus Jakarta Sans" w:eastAsia="Plus Jakarta Sans" w:hAnsi="Plus Jakarta Sans"/>
      <w:b/>
      <w:bCs/>
      <w:color w:val="1C3D3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intake and criteria lock</dc:title>
  <dc:creator>Calibre by Daftar</dc:creator>
  <cp:lastModifiedBy>Un-named</cp:lastModifiedBy>
  <cp:revision>1</cp:revision>
  <dcterms:created xsi:type="dcterms:W3CDTF">2026-10-05T07:48:56.356Z</dcterms:created>
  <dcterms:modified xsi:type="dcterms:W3CDTF">2026-10-05T07:48:56.356Z</dcterms:modified>
</cp:coreProperties>
</file>

<file path=docProps/custom.xml><?xml version="1.0" encoding="utf-8"?>
<Properties xmlns="http://schemas.openxmlformats.org/officeDocument/2006/custom-properties" xmlns:vt="http://schemas.openxmlformats.org/officeDocument/2006/docPropsVTypes"/>
</file>