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 w:line="300" w:lineRule="auto"/>
      </w:pPr>
      <w:r>
        <w:rPr>
          <w:rFonts w:ascii="Lora" w:cs="Lora" w:eastAsia="Lora" w:hAnsi="Lora"/>
          <w:i/>
          <w:iCs/>
          <w:color w:val="0E211B"/>
          <w:sz w:val="34"/>
          <w:szCs w:val="34"/>
        </w:rPr>
        <w:t xml:space="preserve">Calibre</w:t>
      </w:r>
      <w:r>
        <w:rPr>
          <w:rFonts w:ascii="Plus Jakarta Sans" w:cs="Plus Jakarta Sans" w:eastAsia="Plus Jakarta Sans" w:hAnsi="Plus Jakarta Sans"/>
          <w:b/>
          <w:bCs/>
          <w:color w:val="596B66"/>
          <w:sz w:val="17"/>
          <w:szCs w:val="17"/>
        </w:rPr>
        <w:t xml:space="preserve">   by Daftar</w:t>
      </w:r>
    </w:p>
    <w:p>
      <w:pPr>
        <w:pBdr>
          <w:left w:val="single" w:color="265147" w:sz="18" w:space="8"/>
        </w:pBdr>
        <w:spacing w:after="220" w:before="0" w:line="300" w:lineRule="auto"/>
        <w:ind w:left="17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Service definition</w:t>
      </w:r>
    </w:p>
    <w:p>
      <w:pPr>
        <w:spacing w:after="180" w:before="0" w:line="276" w:lineRule="auto"/>
      </w:pPr>
      <w:r>
        <w:rPr>
          <w:rFonts w:ascii="Lora" w:cs="Lora" w:eastAsia="Lora" w:hAnsi="Lora"/>
          <w:color w:val="0E211B"/>
          <w:sz w:val="46"/>
          <w:szCs w:val="46"/>
        </w:rPr>
        <w:t xml:space="preserve">One role, one panel, one written Verdict</w:t>
      </w:r>
    </w:p>
    <w:p>
      <w:pPr>
        <w:spacing w:after="240" w:before="0" w:line="330" w:lineRule="auto"/>
      </w:pPr>
      <w:r>
        <w:rPr>
          <w:rFonts w:ascii="Lora" w:cs="Lora" w:eastAsia="Lora" w:hAnsi="Lora"/>
          <w:color w:val="394740"/>
          <w:sz w:val="23"/>
          <w:szCs w:val="23"/>
        </w:rPr>
        <w:t xml:space="preserve">The Calibre Verdict is a bounded, evidence-led service for a defined finance-role shortlist. It creates a common standard, preserves independent judgment, makes disagreement visible, and ends with a human-written advisory memo.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01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Service boundary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0"/>
        <w:gridCol w:w="6484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Role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One finance role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Finalists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Two to six. Four are included in the fee; a fifth or sixth is quoted before start.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Panel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Two to five decision-makers, one of them the hiring lead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Criteria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Four to nine, weighted to 100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Fee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USD 6,000 fixed. 50% on criteria lock, 50% on delivery of the written Verdict.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Output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One written Calibre Verdict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Decision owner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The employer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1C3D35"/>
          <w:sz w:val="20"/>
          <w:szCs w:val="20"/>
        </w:rPr>
        <w:t xml:space="preserve">Included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A role brief covering the seat, three to five first-year outcomes, what makes the hire hard, and verifiable job-related non-negotiables.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A locked rubric with criterion weights, anchors at 1, 3 and 5, permitted evidence sources and structured questions.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Independent panel scoring before reveal, with a written evidence note behind every score.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A divergence review and mandatory calibration of every flagged finalist-criterion cell.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A final memo containing the pre-calibration record, calibrated results, risks, uncertainties, the recommendation and the outcome plan.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Outcome checks at 90, 180 and 365 days.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1C3D35"/>
          <w:sz w:val="20"/>
          <w:szCs w:val="20"/>
        </w:rPr>
        <w:t xml:space="preserve">Excluded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Candidate sourcing, scheduling, reference checks, offer negotiation and applicant tracking.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Psychometric, personality, work-style, culture or fit assessment.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Automated scoring, ranking, labels, hidden sorting, or a model-generated recommendation.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The hiring decision itself.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02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Method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3900"/>
        <w:gridCol w:w="3784"/>
      </w:tblGrid>
      <w:tr>
        <w:trPr>
          <w:cantSplit/>
          <w:tblHeader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Step</w:t>
            </w:r>
          </w:p>
        </w:tc>
        <w:tc>
          <w:tcPr>
            <w:tcW w:type="dxa" w:w="3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Panel action</w:t>
            </w:r>
          </w:p>
        </w:tc>
        <w:tc>
          <w:tcPr>
            <w:tcW w:type="dxa" w:w="37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Read</w:t>
            </w:r>
          </w:p>
        </w:tc>
        <w:tc>
          <w:tcPr>
            <w:tcW w:type="dxa" w:w="3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Agree the role brief and rubric.</w:t>
            </w:r>
          </w:p>
        </w:tc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Lock before any finalist is scored.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Score</w:t>
            </w:r>
          </w:p>
        </w:tc>
        <w:tc>
          <w:tcPr>
            <w:tcW w:type="dxa" w:w="3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Each panelist scores every finalist independently.</w:t>
            </w:r>
          </w:p>
        </w:tc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Scores are blind and immutable after submission.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Compare</w:t>
            </w:r>
          </w:p>
        </w:tc>
        <w:tc>
          <w:tcPr>
            <w:tcW w:type="dxa" w:w="3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Review the score spread, the evidence and the disagreement.</w:t>
            </w:r>
          </w:p>
        </w:tc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No totals are shown before calibration.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Calibrate</w:t>
            </w:r>
          </w:p>
        </w:tc>
        <w:tc>
          <w:tcPr>
            <w:tcW w:type="dxa" w:w="3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Discuss every flagged cell and record the resolution.</w:t>
            </w:r>
          </w:p>
        </w:tc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Pre-calibration scores remain in the record.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Verdict</w:t>
            </w:r>
          </w:p>
        </w:tc>
        <w:tc>
          <w:tcPr>
            <w:tcW w:type="dxa" w:w="3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Review the written advice and the named risks.</w:t>
            </w:r>
          </w:p>
        </w:tc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Weighted results are advisory and shown in entry order.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03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Data and candidate safeguards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Record that each candidate received the notice before their information is used.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Record reasonable adjustments without recording their reason in the rubric, scores or memo.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Collect only job-related evidence, and use candidate references in working views.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Purge personal data 90 days after the memo is issued, unless the engagement letter sets another lawful schedule.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After purge, keep only initials or non-identifying references with the outcome data.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Make no performance-prediction, legal-compliance, bias-elimination or scientific-validity claim.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04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Delivery sequence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900"/>
        <w:gridCol w:w="3000"/>
        <w:gridCol w:w="4284"/>
      </w:tblGrid>
      <w:tr>
        <w:trPr>
          <w:cantSplit/>
          <w:tblHeader/>
        </w:trPr>
        <w:tc>
          <w:tcPr>
            <w:tcW w:type="dxa" w:w="1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Milestone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Required output</w:t>
            </w:r>
          </w:p>
        </w:tc>
        <w:tc>
          <w:tcPr>
            <w:tcW w:type="dxa" w:w="42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Intake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Role brief and draft rubric</w:t>
            </w:r>
          </w:p>
        </w:tc>
        <w:tc>
          <w:tcPr>
            <w:tcW w:type="dxa" w:w="42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Outcomes and evidence sources are clear.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Lock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Signed rubric version</w:t>
            </w:r>
          </w:p>
        </w:tc>
        <w:tc>
          <w:tcPr>
            <w:tcW w:type="dxa" w:w="42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Weights total 100; four to nine criteria; anchors complete.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Panel scoring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Independent score records</w:t>
            </w:r>
          </w:p>
        </w:tc>
        <w:tc>
          <w:tcPr>
            <w:tcW w:type="dxa" w:w="42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Every score has an evidence note; 0 means no evidence.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Reveal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Divergence view</w:t>
            </w:r>
          </w:p>
        </w:tc>
        <w:tc>
          <w:tcPr>
            <w:tcW w:type="dxa" w:w="42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All panelists submitted, or the scoring deadline has passed.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Resolution log</w:t>
            </w:r>
          </w:p>
        </w:tc>
        <w:tc>
          <w:tcPr>
            <w:tcW w:type="dxa" w:w="42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Every flagged cell discussed.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Issue and follow-up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Verdict memo and outcome register</w:t>
            </w:r>
          </w:p>
        </w:tc>
        <w:tc>
          <w:tcPr>
            <w:tcW w:type="dxa" w:w="42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Use statement present; 90, 180 and 365-day checks scheduled.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05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Commercial discipline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0"/>
        <w:gridCol w:w="6484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Offer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Sell one complete Verdict. Calibration is not an optional add-on.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Commercial terms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USD 6,000 fixed; 50% on criteria lock, 50% on delivery. Currency and confidentiality terms are confirmed in the signed engagement letter.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Scope change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Additional finalists, a second role, or a rubric change after lock is a written variation.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Claims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Do not promise that disagreement will be resolved, that bias is eliminated, or that the method predicts performance.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Decision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Name the human recommendation owner, and repeat that the employer decides.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Evidence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Do not cite a number without its source and its limits.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Product boundary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No app, portal, ranking feature or model-generated recommendation is required to deliver the service.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pBdr>
          <w:left w:val="single" w:color="265147" w:sz="24" w:space="10"/>
        </w:pBdr>
        <w:shd w:fill="F0F5F3" w:color="auto" w:val="clear"/>
        <w:spacing w:after="0" w:before="160" w:line="280" w:lineRule="auto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The promise</w:t>
      </w:r>
    </w:p>
    <w:p>
      <w:pPr>
        <w:pBdr>
          <w:left w:val="single" w:color="265147" w:sz="24" w:space="10"/>
        </w:pBdr>
        <w:shd w:fill="F0F5F3" w:color="auto" w:val="clear"/>
        <w:spacing w:after="20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Calibre promises a disciplined record of where the panel agrees, where it differs, what evidence bears on the difference, what remains uncertain, and who owns the final decision.</w:t>
      </w:r>
    </w:p>
    <w:p>
      <w:pPr>
        <w:keepNext/>
        <w:pBdr>
          <w:left w:val="single" w:color="265147" w:sz="24" w:space="10"/>
        </w:pBdr>
        <w:shd w:fill="D5E3DE" w:color="auto" w:val="clear"/>
        <w:spacing w:after="0" w:before="160" w:line="280" w:lineRule="auto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Use statement</w:t>
      </w:r>
    </w:p>
    <w:p>
      <w:pPr>
        <w:pBdr>
          <w:left w:val="single" w:color="265147" w:sz="24" w:space="10"/>
        </w:pBdr>
        <w:shd w:fill="D5E3DE" w:color="auto" w:val="clear"/>
        <w:spacing w:after="20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Structured hiring advisory for finance roles. Not a psychometric assessment. Does not predict performance. The decision, and its consequences, rest with the employer.</w:t>
      </w:r>
    </w:p>
    <w:sectPr>
      <w:footerReference w:type="default" r:id="rId6"/>
      <w:pgSz w:w="11906" w:h="16838" w:orient="portrait"/>
      <w:pgMar w:top="1361" w:right="1361" w:bottom="1361" w:left="1361" w:header="708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3DE" w:sz="4" w:space="6"/>
      </w:pBdr>
      <w:spacing w:after="0" w:before="0" w:line="300" w:lineRule="auto"/>
    </w:pPr>
    <w:r>
      <w:rPr>
        <w:rFonts w:ascii="Plus Jakarta Sans" w:cs="Plus Jakarta Sans" w:eastAsia="Plus Jakarta Sans" w:hAnsi="Plus Jakarta Sans"/>
        <w:b/>
        <w:bCs/>
        <w:color w:val="1C3D35"/>
        <w:sz w:val="15"/>
        <w:szCs w:val="15"/>
      </w:rPr>
      <w:t xml:space="preserve">Calibre by Daftar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t xml:space="preserve">  ·  A product of Daftar Advisory · Amman  ·  Service definition  ·  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6514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394740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ora" w:cs="Lora" w:eastAsia="Lora" w:hAnsi="Lora"/>
      <w:color w:val="0E211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lus Jakarta Sans" w:cs="Plus Jakarta Sans" w:eastAsia="Plus Jakarta Sans" w:hAnsi="Plus Jakarta Sans"/>
      <w:b/>
      <w:bCs/>
      <w:color w:val="1C3D3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definition</dc:title>
  <dc:creator>Calibre by Daftar</dc:creator>
  <cp:lastModifiedBy>Un-named</cp:lastModifiedBy>
  <cp:revision>1</cp:revision>
  <dcterms:created xsi:type="dcterms:W3CDTF">2026-10-05T07:48:56.614Z</dcterms:created>
  <dcterms:modified xsi:type="dcterms:W3CDTF">2026-10-05T07:48:56.614Z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