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 w:line="300" w:lineRule="auto"/>
      </w:pPr>
      <w:r>
        <w:rPr>
          <w:rFonts w:ascii="Lora" w:cs="Lora" w:eastAsia="Lora" w:hAnsi="Lora"/>
          <w:i/>
          <w:iCs/>
          <w:color w:val="0E211B"/>
          <w:sz w:val="34"/>
          <w:szCs w:val="34"/>
        </w:rPr>
        <w:t xml:space="preserve">Calibre</w:t>
      </w:r>
      <w:r>
        <w:rPr>
          <w:rFonts w:ascii="Plus Jakarta Sans" w:cs="Plus Jakarta Sans" w:eastAsia="Plus Jakarta Sans" w:hAnsi="Plus Jakarta Sans"/>
          <w:b/>
          <w:bCs/>
          <w:color w:val="596B66"/>
          <w:sz w:val="17"/>
          <w:szCs w:val="17"/>
        </w:rPr>
        <w:t xml:space="preserve">   by Daftar</w:t>
      </w:r>
    </w:p>
    <w:p>
      <w:pPr>
        <w:pBdr>
          <w:left w:val="single" w:color="265147" w:sz="18" w:space="8"/>
        </w:pBdr>
        <w:spacing w:after="220" w:before="0" w:line="300" w:lineRule="auto"/>
        <w:ind w:left="17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Verdict memo · Template</w:t>
      </w:r>
    </w:p>
    <w:p>
      <w:pPr>
        <w:spacing w:after="180" w:before="0" w:line="276" w:lineRule="auto"/>
      </w:pPr>
      <w:r>
        <w:rPr>
          <w:rFonts w:ascii="Lora" w:cs="Lora" w:eastAsia="Lora" w:hAnsi="Lora"/>
          <w:color w:val="0E211B"/>
          <w:sz w:val="46"/>
          <w:szCs w:val="46"/>
        </w:rPr>
        <w:t xml:space="preserve">Calibre Verdict: [Role] · [Client]</w:t>
      </w:r>
    </w:p>
    <w:p>
      <w:pPr>
        <w:keepNext/>
        <w:pBdr>
          <w:left w:val="single" w:color="596B66" w:sz="24" w:space="10"/>
        </w:pBdr>
        <w:shd w:fill="F6F7F8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596B66"/>
          <w:spacing w:val="30"/>
          <w:sz w:val="15"/>
          <w:szCs w:val="15"/>
        </w:rPr>
        <w:t xml:space="preserve">Template</w:t>
      </w:r>
    </w:p>
    <w:p>
      <w:pPr>
        <w:pBdr>
          <w:left w:val="single" w:color="596B66" w:sz="24" w:space="10"/>
        </w:pBdr>
        <w:shd w:fill="F6F7F8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Replace every bracketed placeholder and delete the guidance notes before issuing. The sections follow product/METHOD.md §7, in order. Candidates always appear in reference order, K1 first, never sorted by score.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Client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[Client entity]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Role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[Role title]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Hiring lead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[Name, title]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[P1 to P5 names]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Finalists reviewed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[K1 to K_]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Rubric locked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[Version n, date and time]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Scoring closed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Calibration session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Verdict issued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Memo version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[n]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[Calibre lead]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pBdr>
          <w:left w:val="single" w:color="265147" w:sz="24" w:space="10"/>
        </w:pBdr>
        <w:shd w:fill="D5E3DE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Use statement</w:t>
      </w:r>
    </w:p>
    <w:p>
      <w:pPr>
        <w:pBdr>
          <w:left w:val="single" w:color="265147" w:sz="24" w:space="10"/>
        </w:pBdr>
        <w:shd w:fill="D5E3DE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1C3D35"/>
          <w:sz w:val="20"/>
          <w:szCs w:val="20"/>
        </w:rPr>
        <w:t xml:space="preserve">Purpose and limits of this Verdict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This Verdict is an advisory structuring of the evidence supplied by the client. It is not a hiring decision, an assessment of the candidate as a person, or a prediction of future performance. Every conclusion is stated against a role criterion that was agreed and locked before any candidate evidence was reviewed. No psychometric instrument, personality inventory, work-style profile or culture-fit measure has been used, and none of the conclusions rest on inference about protected characteristics. Where the evidence does not support a conclusion, that is recorded as a gap rather than resolved by assumption. The employer retains the hiring decision in full.</w:t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Standing text. It keeps the Verdict advisory rather than determinative, and it is the first thing a challenged client will point to. Reword it only with a considered reason.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01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Decision context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Seat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[Title, reporting line, team size, entity scope, location]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First-year outcomes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[Three to five, from the intake form]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What makes this hire hard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[From the intake form]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Non-negotiables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[List] · Verified for all finalists: [Yes / No, with any exceptions]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Panel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[Names. Hiring lead: name]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Dates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[Rubric locked · scoring closed · calibration session]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02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The standard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Rubric version [n], locked [date and time] before any finalist was scored. It was not changed at any point after the first score was submitted.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"/>
        <w:gridCol w:w="2300"/>
        <w:gridCol w:w="1150"/>
        <w:gridCol w:w="900"/>
        <w:gridCol w:w="4134"/>
      </w:tblGrid>
      <w:tr>
        <w:trPr>
          <w:cantSplit/>
          <w:tblHeader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Ref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Must / Pref.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Weight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Anchor 3, the hireable level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C1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Technical accounting and IFRS application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applied the standards material to this entity (e.g. revenue, leases, impairment) in a prior role and can explain one judgement they made and why.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C2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Financial reporting and close ownership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owned a monthly or quarterly close of comparable size and complexity, including the reconciliations and the reporting pack.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C3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Controls, compliance and audit readiness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run an audit as the entity-side owner: PBC list, sample support, auditor queries closed within the timetable.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C4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Planning, budgeting and forecasting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built and maintained a budget or rolling forecast for the entity, and can explain the two or three assumptions that actually drive 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C5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Cash, treasury and working capital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Preferred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owned a cash forecast and a payment run, and understands the entity's working-capital cycle.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C6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Systems, data and reporting tooling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Is fluent in the entity's ERP class and can build the reporting that sits on top of it without help.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C7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Team leadership and delegation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Preferred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supervised a team of comparable size, including review of their work and management of the close timetable across them.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C8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Stakeholder communication and reporting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Must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Presents regularly to management or the board and can translate a variance into a business cause without prompting.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C9</w:t>
            </w:r>
          </w:p>
        </w:tc>
        <w:tc>
          <w:tcPr>
            <w:tcW w:type="dxa" w:w="2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Jurisdictional and regulatory exposure</w:t>
            </w:r>
          </w:p>
        </w:tc>
        <w:tc>
          <w:tcPr>
            <w:tcW w:type="dxa" w:w="11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Preferred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413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Has operated under the entity's regime (e.g. UAE corporate tax, VAT, ZATCA, free-zone rules) and knows the filing calendar that applies.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Paste the engagement's locked rubric, not this default. If a criterion was amended before the first score, show the amended wording and add: Amendment [n] ([date], [who]): [what]. Reason: [why].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03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The finalists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00"/>
        <w:gridCol w:w="1300"/>
        <w:gridCol w:w="4884"/>
        <w:gridCol w:w="2200"/>
      </w:tblGrid>
      <w:tr>
        <w:trPr>
          <w:cantSplit/>
          <w:tblHeader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Ref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Initials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Evidence sources used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Candidate notice sent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K1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K2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K3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8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K4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  ]</w:t>
            </w:r>
          </w:p>
        </w:tc>
        <w:tc>
          <w:tcPr>
            <w:tcW w:type="dxa" w:w="4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[CV, interview notes, work sample]</w:t>
            </w:r>
          </w:p>
        </w:tc>
        <w:tc>
          <w:tcPr>
            <w:tcW w:type="dxa" w:w="22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not supplied.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was requested and not received. This list is the origin of most of the risks in section 07, and it protects the Verdict where a conclusion later proves wrong for a reason the evidence could not have shown.]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Independence.  </w:t>
      </w: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Panelists scored independently and did not discuss finalists between interview and submission. Attested by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[hiring lead]</w:t>
      </w: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04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Scores before calibration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The full matrix from sheet 02 of the working file. A score of 0 means no evidence was supplied; it is excluded from the spread and never read as a low score.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784"/>
        <w:gridCol w:w="900"/>
        <w:gridCol w:w="900"/>
        <w:gridCol w:w="900"/>
        <w:gridCol w:w="900"/>
        <w:gridCol w:w="900"/>
        <w:gridCol w:w="900"/>
      </w:tblGrid>
      <w:tr>
        <w:trPr>
          <w:cantSplit/>
          <w:tblHeader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K1 · Criterion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P1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P2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P3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P4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P5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Spread</w:t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C1  Technical accounting and IFRS application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C2  Financial reporting and close ownership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C3  Controls, compliance and audit readiness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C4  Planning, budgeting and forecasting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C5  Cash, treasury and working capital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C6  Systems, data and reporting tooling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C7  Team leadership and delegation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C8  Stakeholder communication and reporting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7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C9  Jurisdictional and regulatory exposure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Repeat this table for each finalist, in reference order.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05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Where the panel diverged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Every cell with a spread of two points or more, the evidence on each side, and how the panel resolved it. A spread of 2 is a divergence. A spread of 3 or 4 is a contradiction, and each one is named in the prose below.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0"/>
        <w:gridCol w:w="1250"/>
        <w:gridCol w:w="1050"/>
        <w:gridCol w:w="940"/>
        <w:gridCol w:w="2044"/>
        <w:gridCol w:w="1000"/>
        <w:gridCol w:w="1900"/>
      </w:tblGrid>
      <w:tr>
        <w:trPr>
          <w:cantSplit/>
          <w:tblHeader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Finalist</w:t>
            </w:r>
          </w:p>
        </w:tc>
        <w:tc>
          <w:tcPr>
            <w:tcW w:type="dxa" w:w="125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105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Scores</w:t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Spread</w:t>
            </w:r>
          </w:p>
        </w:tc>
        <w:tc>
          <w:tcPr>
            <w:tcW w:type="dxa" w:w="204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Evidence on each side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Agreed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Reason recorded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[K_]</w:t>
            </w:r>
          </w:p>
        </w:tc>
        <w:tc>
          <w:tcPr>
            <w:tcW w:type="dxa" w:w="12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[C_]</w:t>
            </w:r>
          </w:p>
        </w:tc>
        <w:tc>
          <w:tcPr>
            <w:tcW w:type="dxa" w:w="105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[e.g. 2, 4, 4]</w:t>
            </w:r>
          </w:p>
        </w:tc>
        <w:tc>
          <w:tcPr>
            <w:tcW w:type="dxa" w:w="94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[2]</w:t>
            </w:r>
          </w:p>
        </w:tc>
        <w:tc>
          <w:tcPr>
            <w:tcW w:type="dxa" w:w="204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[Evidence notes, side by side]</w:t>
            </w:r>
          </w:p>
        </w:tc>
        <w:tc>
          <w:tcPr>
            <w:tcW w:type="dxa" w:w="10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[3]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[The evidence that settled it]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Contradictions.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[Name each spread of 3 or 4: whether the disagreement was about the evidence, the meaning of the criterion, or its weighting, and how it was resolved.]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Unresolved.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[Any flagged cell the panel could not resolve. It takes the panel mean and is carried into section 07 as a risk.]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06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Scores after calibration and the weighted result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00"/>
        <w:gridCol w:w="3884"/>
        <w:gridCol w:w="900"/>
        <w:gridCol w:w="925"/>
        <w:gridCol w:w="925"/>
        <w:gridCol w:w="925"/>
        <w:gridCol w:w="925"/>
      </w:tblGrid>
      <w:tr>
        <w:trPr>
          <w:cantSplit/>
          <w:tblHeader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Ref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Criterion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Weight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K1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K2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K3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K4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C1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Technical accounting and IFRS application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C2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Financial reporting and close ownership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15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C3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Controls, compliance and audit readiness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C4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Planning, budgeting and forecasting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12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C5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Cash, treasury and working capital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C6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Systems, data and reporting tooling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C7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Team leadership and delegation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C8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Stakeholder communication and reporting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10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C9</w:t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Jurisdictional and regulatory exposure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8</w:t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/>
            </w:r>
          </w:p>
        </w:tc>
        <w:tc>
          <w:tcPr>
            <w:tcW w:type="dxa" w:w="3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Weighted result (advisory)</w:t>
            </w:r>
          </w:p>
        </w:tc>
        <w:tc>
          <w:tcPr>
            <w:tcW w:type="dxa" w:w="9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925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40" w:before="0" w:line="300" w:lineRule="auto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20"/>
          <w:sz w:val="16"/>
          <w:szCs w:val="16"/>
        </w:rPr>
        <w:t xml:space="preserve">Guidance  </w:t>
      </w:r>
      <w:r>
        <w:rPr>
          <w:rFonts w:ascii="Plus Jakarta Sans" w:cs="Plus Jakarta Sans" w:eastAsia="Plus Jakarta Sans" w:hAnsi="Plus Jakarta Sans"/>
          <w:i/>
          <w:iCs/>
          <w:color w:val="596B66"/>
          <w:sz w:val="17"/>
          <w:szCs w:val="17"/>
        </w:rPr>
        <w:t xml:space="preserve">Shown in entry order. Never sorted, coloured or labelled. The weighted result runs from 0 to 100 and is an input to the recommendation, not the recommendation. A criterion with no evidence is shown as "no evidence" and the result is footnoted as incomplete.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1C3D35"/>
          <w:sz w:val="20"/>
          <w:szCs w:val="20"/>
        </w:rPr>
        <w:t xml:space="preserve">Findings by finalist</w:t>
      </w:r>
    </w:p>
    <w:p>
      <w:pPr>
        <w:keepNext/>
        <w:spacing w:after="80" w:before="160" w:line="300" w:lineRule="auto"/>
      </w:pPr>
      <w:r>
        <w:rPr>
          <w:rFonts w:ascii="Lora" w:cs="Lora" w:eastAsia="Lora" w:hAnsi="Lora"/>
          <w:color w:val="0E211B"/>
          <w:sz w:val="23"/>
          <w:szCs w:val="23"/>
        </w:rPr>
        <w:t xml:space="preserve">K1  ·  [initials]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Strengths against the role requirements.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[Two or three findings, each naming the criterion and the evidence. e.g. Meets C2 at anchor 5: owned the close for a 40-entity group, evidenced in the CV and confirmed in the second interview note of 12 May.]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Material gaps and uncertainties.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the evidence does not support, and what would resolve it. A demonstrated weakness and an absence of evidence are different findings and carry different weight.]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basis.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[Where conclusions rest on documented evidence, on interview assertion alone, or on inference. Anything resting on inference is named.]</w:t>
      </w:r>
    </w:p>
    <w:p>
      <w:pPr>
        <w:keepNext/>
        <w:spacing w:after="80" w:before="160" w:line="300" w:lineRule="auto"/>
      </w:pPr>
      <w:r>
        <w:rPr>
          <w:rFonts w:ascii="Lora" w:cs="Lora" w:eastAsia="Lora" w:hAnsi="Lora"/>
          <w:color w:val="0E211B"/>
          <w:sz w:val="23"/>
          <w:szCs w:val="23"/>
        </w:rPr>
        <w:t xml:space="preserve">K2  ·  [initials]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Strengths against the role requirements.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[Two or three findings, each naming the criterion and the evidence. e.g. Meets C2 at anchor 5: owned the close for a 40-entity group, evidenced in the CV and confirmed in the second interview note of 12 May.]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Material gaps and uncertainties.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the evidence does not support, and what would resolve it. A demonstrated weakness and an absence of evidence are different findings and carry different weight.]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basis.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[Where conclusions rest on documented evidence, on interview assertion alone, or on inference. Anything resting on inference is named.]</w:t>
      </w:r>
    </w:p>
    <w:p>
      <w:pPr>
        <w:keepNext/>
        <w:spacing w:after="80" w:before="160" w:line="300" w:lineRule="auto"/>
      </w:pPr>
      <w:r>
        <w:rPr>
          <w:rFonts w:ascii="Lora" w:cs="Lora" w:eastAsia="Lora" w:hAnsi="Lora"/>
          <w:color w:val="0E211B"/>
          <w:sz w:val="23"/>
          <w:szCs w:val="23"/>
        </w:rPr>
        <w:t xml:space="preserve">K3  ·  [initials]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Strengths against the role requirements.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[Two or three findings, each naming the criterion and the evidence. e.g. Meets C2 at anchor 5: owned the close for a 40-entity group, evidenced in the CV and confirmed in the second interview note of 12 May.]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Material gaps and uncertainties.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[What the evidence does not support, and what would resolve it. A demonstrated weakness and an absence of evidence are different findings and carry different weight.]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Evidence basis.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[Where conclusions rest on documented evidence, on interview assertion alone, or on inference. Anything resting on inference is named.]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07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[Criteria on which the finalist with the highest weighted result scored 2 or below.]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[Flagged cells left unresolved after calibration.]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[Absent panelists, and whose scores are therefore missing.]</w:t>
      </w:r>
    </w:p>
    <w:p>
      <w:pPr>
        <w:pStyle w:val="ListParagraph"/>
        <w:numPr>
          <w:ilvl w:val="0"/>
          <w:numId w:val="2"/>
        </w:numPr>
        <w:spacing w:after="3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[Non-negotiables not yet verified.]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Where the evidence is thin.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[Each open uncertainty, tied to a criterion, with the specific step that would resolve it: a targeted question, a work sample, a reference call the client commissions separately.]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What this Verdict cannot tell you.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[Be explicit. This is the product behaving honestly, and clients read it as the most credible part of the memo.]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08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Recommendation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[The recommendation in one sentence, tied to the locked criteria. Then the reasoning in prose: which criteria drove it, which evidence carried the most weight, and what would change it.]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b/>
          <w:bCs/>
          <w:color w:val="1C3D35"/>
          <w:sz w:val="19"/>
          <w:szCs w:val="19"/>
        </w:rPr>
        <w:t xml:space="preserve">If you proceed with [K_].  </w:t>
      </w: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[The specific risks, and the mitigation the client can put in place: an onboarding focus, a probation checkpoint, a supporting hire.]</w:t>
      </w:r>
    </w:p>
    <w:p>
      <w:pPr>
        <w:keepNext/>
        <w:pBdr>
          <w:left w:val="single" w:color="265147" w:sz="24" w:space="10"/>
        </w:pBdr>
        <w:shd w:fill="F0F5F3" w:color="auto" w:val="clear"/>
        <w:spacing w:after="0" w:before="160" w:line="280" w:lineRule="auto"/>
        <w:ind w:left="200" w:right="120"/>
      </w:pPr>
      <w:r>
        <w:rPr>
          <w:rFonts w:ascii="Plus Jakarta Sans" w:cs="Plus Jakarta Sans" w:eastAsia="Plus Jakarta Sans" w:hAnsi="Plus Jakarta Sans"/>
          <w:b/>
          <w:bCs/>
          <w:caps/>
          <w:color w:val="265147"/>
          <w:spacing w:val="30"/>
          <w:sz w:val="15"/>
          <w:szCs w:val="15"/>
        </w:rPr>
        <w:t xml:space="preserve">Departure from the weighted result</w:t>
      </w:r>
    </w:p>
    <w:p>
      <w:pPr>
        <w:pBdr>
          <w:left w:val="single" w:color="265147" w:sz="24" w:space="10"/>
        </w:pBdr>
        <w:shd w:fill="F0F5F3" w:color="auto" w:val="clear"/>
        <w:spacing w:after="6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0E211B"/>
          <w:sz w:val="19"/>
          <w:szCs w:val="19"/>
        </w:rPr>
        <w:t xml:space="preserve">If this recommendation is not the finalist with the highest weighted result, state the job-related reason here. The Verdict cannot be issued without it.</w:t>
      </w:r>
    </w:p>
    <w:p>
      <w:pPr>
        <w:pBdr>
          <w:left w:val="single" w:color="265147" w:sz="24" w:space="10"/>
        </w:pBdr>
        <w:shd w:fill="F0F5F3" w:color="auto" w:val="clear"/>
        <w:spacing w:after="200" w:before="0" w:line="290" w:lineRule="auto"/>
        <w:ind w:left="200" w:right="120"/>
      </w:pPr>
      <w:r>
        <w:rPr>
          <w:rFonts w:ascii="Plus Jakarta Sans" w:cs="Plus Jakarta Sans" w:eastAsia="Plus Jakarta Sans" w:hAnsi="Plus Jakarta Sans"/>
          <w:color w:val="1C3D35"/>
          <w:sz w:val="19"/>
          <w:szCs w:val="19"/>
        </w:rPr>
        <w:t xml:space="preserve">[Reason]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This is advice on the evidence against the agreed criteria. The hiring decision, and responsibility for it, remain with the employer.</w:t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09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What happens next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700"/>
        <w:gridCol w:w="6484"/>
      </w:tblGrid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Reference checks outstanding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[List]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Offer conditions</w:t>
            </w:r>
          </w:p>
        </w:tc>
        <w:tc>
          <w:tcPr>
            <w:tcW w:type="dxa" w:w="64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[List]</w:t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The hiring lead has agreed to answer four questions at each checkpoint after the start date. The answers are recorded against the role, by initials only.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300"/>
        <w:gridCol w:w="1300"/>
        <w:gridCol w:w="1500"/>
        <w:gridCol w:w="1700"/>
        <w:gridCol w:w="1500"/>
        <w:gridCol w:w="1884"/>
      </w:tblGrid>
      <w:tr>
        <w:trPr>
          <w:cantSplit/>
          <w:tblHeader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Checkpoint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Due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Still in the seat?</w:t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Manager satisfaction (1 to 5)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Early concerns?</w:t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265147" w:sz="12"/>
              <w:right w:val="none" w:color="auto" w:sz="0"/>
            </w:tcBorders>
            <w:shd w:fill="F0F5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aps/>
                <w:color w:val="0E211B"/>
                <w:spacing w:val="10"/>
                <w:sz w:val="15"/>
                <w:szCs w:val="15"/>
              </w:rPr>
              <w:t xml:space="preserve">Did the Verdict flag what later mattered?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90 days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180 days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C3D35"/>
                <w:sz w:val="19"/>
                <w:szCs w:val="19"/>
              </w:rPr>
              <w:t xml:space="preserve">365 days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>[Date]</w:t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  <w:tc>
          <w:tcPr>
            <w:tcW w:type="dxa" w:w="1884"/>
            <w:tcBorders>
              <w:top w:val="none" w:color="auto" w:sz="0"/>
              <w:left w:val="none" w:color="auto" w:sz="0"/>
              <w:bottom w:val="single" w:color="D5E3DE" w:sz="4"/>
              <w:right w:val="none" w:color="auto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64" w:lineRule="auto"/>
            </w:pPr>
            <w:r>
              <w:rPr>
                <w:rFonts w:ascii="Plus Jakarta Sans" w:cs="Plus Jakarta Sans" w:eastAsia="Plus Jakarta Sans" w:hAnsi="Plus Jakarta Sans"/>
                <w:color w:val="394740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16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/>
      </w:r>
    </w:p>
    <w:p>
      <w:pPr>
        <w:keepNext/>
        <w:spacing w:after="30" w:before="200" w:line="300" w:lineRule="auto"/>
      </w:pPr>
      <w:r>
        <w:rPr>
          <w:rFonts w:ascii="Plus Jakarta Sans" w:cs="Plus Jakarta Sans" w:eastAsia="Plus Jakarta Sans" w:hAnsi="Plus Jakarta Sans"/>
          <w:b/>
          <w:bCs/>
          <w:color w:val="265147"/>
          <w:spacing w:val="30"/>
          <w:sz w:val="15"/>
          <w:szCs w:val="15"/>
        </w:rPr>
        <w:t xml:space="preserve">§ 10</w:t>
      </w:r>
    </w:p>
    <w:p>
      <w:pPr>
        <w:pStyle w:val="Heading1"/>
        <w:keepNext/>
        <w:pBdr>
          <w:bottom w:val="single" w:color="D5E3DE" w:sz="4" w:space="6"/>
        </w:pBdr>
        <w:spacing w:after="100" w:before="0"/>
      </w:pPr>
      <w:r>
        <w:rPr>
          <w:rFonts w:ascii="Lora" w:cs="Lora" w:eastAsia="Lora" w:hAnsi="Lora"/>
          <w:color w:val="0E211B"/>
          <w:sz w:val="30"/>
          <w:szCs w:val="30"/>
        </w:rPr>
        <w:t xml:space="preserve">Use statement</w:t>
      </w:r>
    </w:p>
    <w:p>
      <w:pPr>
        <w:spacing w:after="120" w:before="0" w:line="300" w:lineRule="auto"/>
      </w:pPr>
      <w:r>
        <w:rPr>
          <w:rFonts w:ascii="Plus Jakarta Sans" w:cs="Plus Jakarta Sans" w:eastAsia="Plus Jakarta Sans" w:hAnsi="Plus Jakarta Sans"/>
          <w:color w:val="394740"/>
          <w:sz w:val="19"/>
          <w:szCs w:val="19"/>
        </w:rPr>
        <w:t xml:space="preserve">Structured hiring advisory for finance roles. Not a psychometric assessment. Does not predict performance. The decision, and its consequences, rest with the employer.</w:t>
      </w:r>
    </w:p>
    <w:sectPr>
      <w:footerReference w:type="default" r:id="rId6"/>
      <w:pgSz w:w="11906" w:h="16838" w:orient="portrait"/>
      <w:pgMar w:top="1361" w:right="1361" w:bottom="1361" w:left="1361" w:header="708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E3DE" w:sz="4" w:space="6"/>
      </w:pBdr>
      <w:spacing w:after="0" w:before="0" w:line="300" w:lineRule="auto"/>
    </w:pPr>
    <w:r>
      <w:rPr>
        <w:rFonts w:ascii="Plus Jakarta Sans" w:cs="Plus Jakarta Sans" w:eastAsia="Plus Jakarta Sans" w:hAnsi="Plus Jakarta Sans"/>
        <w:b/>
        <w:bCs/>
        <w:color w:val="1C3D35"/>
        <w:sz w:val="15"/>
        <w:szCs w:val="15"/>
      </w:rPr>
      <w:t xml:space="preserve">Calibre by Daftar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t xml:space="preserve">  ·  A product of Daftar Advisory · Amman  ·  Verdict memo template  ·  </w:t>
    </w:r>
    <w:r>
      <w:rPr>
        <w:rFonts w:ascii="Plus Jakarta Sans" w:cs="Plus Jakarta Sans" w:eastAsia="Plus Jakarta Sans" w:hAnsi="Plus Jakarta Sans"/>
        <w:color w:val="596B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6514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39474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Lora" w:cs="Lora" w:eastAsia="Lora" w:hAnsi="Lora"/>
      <w:color w:val="0E211B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1C3D3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Verdict memo template</dc:title>
  <dc:creator>Calibre by Daftar</dc:creator>
  <cp:lastModifiedBy>Un-named</cp:lastModifiedBy>
  <cp:revision>1</cp:revision>
  <dcterms:created xsi:type="dcterms:W3CDTF">2026-10-05T07:48:56.491Z</dcterms:created>
  <dcterms:modified xsi:type="dcterms:W3CDTF">2026-10-05T07:48:56.491Z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