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 w:line="300" w:lineRule="auto"/>
      </w:pPr>
      <w:r>
        <w:rPr>
          <w:rFonts w:ascii="Lora" w:cs="Lora" w:eastAsia="Lora" w:hAnsi="Lora"/>
          <w:i/>
          <w:iCs/>
          <w:color w:val="0E211B"/>
          <w:sz w:val="34"/>
          <w:szCs w:val="34"/>
        </w:rPr>
        <w:t xml:space="preserve">Calibre</w:t>
      </w:r>
      <w:r>
        <w:rPr>
          <w:rFonts w:ascii="Plus Jakarta Sans" w:cs="Plus Jakarta Sans" w:eastAsia="Plus Jakarta Sans" w:hAnsi="Plus Jakarta Sans"/>
          <w:b/>
          <w:bCs/>
          <w:color w:val="596B66"/>
          <w:sz w:val="17"/>
          <w:szCs w:val="17"/>
        </w:rPr>
        <w:t xml:space="preserve">   by Daftar</w:t>
      </w:r>
    </w:p>
    <w:p>
      <w:pPr>
        <w:pBdr>
          <w:left w:val="single" w:color="265147" w:sz="18" w:space="8"/>
        </w:pBdr>
        <w:spacing w:after="220" w:before="0" w:line="300" w:lineRule="auto"/>
        <w:ind w:left="17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Candidate notice and data record</w:t>
      </w:r>
    </w:p>
    <w:p>
      <w:pPr>
        <w:spacing w:after="180" w:before="0" w:line="276" w:lineRule="auto"/>
      </w:pPr>
      <w:r>
        <w:rPr>
          <w:rFonts w:ascii="Lora" w:cs="Lora" w:eastAsia="Lora" w:hAnsi="Lora"/>
          <w:color w:val="0E211B"/>
          <w:sz w:val="46"/>
          <w:szCs w:val="46"/>
        </w:rPr>
        <w:t xml:space="preserve">Use before candidate information enters the review</w:t>
      </w:r>
    </w:p>
    <w:p>
      <w:pPr>
        <w:spacing w:after="240" w:before="0" w:line="330" w:lineRule="auto"/>
      </w:pPr>
      <w:r>
        <w:rPr>
          <w:rFonts w:ascii="Lora" w:cs="Lora" w:eastAsia="Lora" w:hAnsi="Lora"/>
          <w:color w:val="394740"/>
          <w:sz w:val="23"/>
          <w:szCs w:val="23"/>
        </w:rPr>
        <w:t xml:space="preserve">A plain-language notice for the client to adapt, and the minimum operational facts Calibre needs to record. It does not replace the client's privacy notice or legal review.</w:t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01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Candidate notice template</w:t>
      </w:r>
    </w:p>
    <w:p>
      <w:pPr>
        <w:keepNext/>
        <w:pBdr>
          <w:left w:val="single" w:color="265147" w:sz="24" w:space="10"/>
        </w:pBdr>
        <w:shd w:fill="F0F5F3" w:color="auto" w:val="clear"/>
        <w:spacing w:after="0" w:before="160" w:line="280" w:lineRule="auto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Template for the client to send</w:t>
      </w:r>
    </w:p>
    <w:p>
      <w:pPr>
        <w:pBdr>
          <w:left w:val="single" w:color="265147" w:sz="24" w:space="10"/>
        </w:pBdr>
        <w:shd w:fill="F0F5F3" w:color="auto" w:val="clear"/>
        <w:spacing w:after="60" w:before="0" w:line="290" w:lineRule="auto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[Client] is using Calibre by Daftar to help its hiring panel review job-related evidence for the [role] recruitment process. The service organises information already supplied through the hiring process against criteria agreed for this role. Human panelists make the assessments and [client] makes the hiring decision. Calibre does not use psychometric testing, personality profiling, culture-fit scoring, automated candidate ranking, or an automated hiring decision.</w:t>
      </w:r>
    </w:p>
    <w:p>
      <w:pPr>
        <w:pBdr>
          <w:left w:val="single" w:color="265147" w:sz="24" w:space="10"/>
        </w:pBdr>
        <w:shd w:fill="F0F5F3" w:color="auto" w:val="clear"/>
        <w:spacing w:after="200" w:before="0" w:line="290" w:lineRule="auto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Information used may include your CV, work history, interview notes, interview scores, and job-related work samples supplied by [client]. It is shared only with authorised members of the hiring process and handled for the retention period stated by [client]. To ask about access, correction, deletion, or a reasonable adjustment, contact [client contact and method].</w:t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02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Notice record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0"/>
        <w:gridCol w:w="1500"/>
        <w:gridCol w:w="1500"/>
        <w:gridCol w:w="1600"/>
        <w:gridCol w:w="2084"/>
        <w:gridCol w:w="1500"/>
      </w:tblGrid>
      <w:tr>
        <w:trPr>
          <w:cantSplit/>
          <w:tblHeader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Finalist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Notice version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Sent date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Method</w:t>
            </w:r>
          </w:p>
        </w:tc>
        <w:tc>
          <w:tcPr>
            <w:tcW w:type="dxa" w:w="20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Client owner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Confirmed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K1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K3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K4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K5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K6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03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Reasonable adjustment record</w:t>
      </w:r>
    </w:p>
    <w:p>
      <w:pPr>
        <w:spacing w:after="12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Record only the operational adjustment. Never record medical information, and never record the reason in the rubric, the scoring file, the calibration record or the Verdict.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0"/>
        <w:gridCol w:w="3200"/>
        <w:gridCol w:w="2000"/>
        <w:gridCol w:w="1584"/>
        <w:gridCol w:w="1400"/>
      </w:tblGrid>
      <w:tr>
        <w:trPr>
          <w:cantSplit/>
          <w:tblHeader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Finalist</w:t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Adjustment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Applies to</w:t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Owner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596B66"/>
                <w:sz w:val="19"/>
                <w:szCs w:val="19"/>
              </w:rPr>
              <w:t xml:space="preserve">Yes / No</w:t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04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Retention and deletion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400"/>
        <w:gridCol w:w="5784"/>
      </w:tblGrid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Verdict issue date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Default purge date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90 days after issue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Approved different schedule and basis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Systems and locations checked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Deletion completed by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Deletion completed at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Post-purge identifier</w:t>
            </w:r>
          </w:p>
        </w:tc>
        <w:tc>
          <w:tcPr>
            <w:tcW w:type="dxa" w:w="5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Initials or a non-identifying finalist reference only</w:t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pBdr>
          <w:left w:val="single" w:color="265147" w:sz="24" w:space="10"/>
        </w:pBdr>
        <w:shd w:fill="D5E3DE" w:color="auto" w:val="clear"/>
        <w:spacing w:after="0" w:before="160" w:line="280" w:lineRule="auto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Use statement</w:t>
      </w:r>
    </w:p>
    <w:p>
      <w:pPr>
        <w:pBdr>
          <w:left w:val="single" w:color="265147" w:sz="24" w:space="10"/>
        </w:pBdr>
        <w:shd w:fill="D5E3DE" w:color="auto" w:val="clear"/>
        <w:spacing w:after="200" w:before="0" w:line="290" w:lineRule="auto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Structured hiring advisory for finance roles. Not a psychometric assessment. Does not predict performance. The decision, and its consequences, rest with the employer.</w:t>
      </w:r>
    </w:p>
    <w:sectPr>
      <w:footerReference w:type="default" r:id="rId6"/>
      <w:pgSz w:w="11906" w:h="16838" w:orient="portrait"/>
      <w:pgMar w:top="1361" w:right="1361" w:bottom="1361" w:left="1361" w:header="708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3DE" w:sz="4" w:space="6"/>
      </w:pBdr>
      <w:spacing w:after="0" w:before="0" w:line="300" w:lineRule="auto"/>
    </w:pPr>
    <w:r>
      <w:rPr>
        <w:rFonts w:ascii="Plus Jakarta Sans" w:cs="Plus Jakarta Sans" w:eastAsia="Plus Jakarta Sans" w:hAnsi="Plus Jakarta Sans"/>
        <w:b/>
        <w:bCs/>
        <w:color w:val="1C3D35"/>
        <w:sz w:val="15"/>
        <w:szCs w:val="15"/>
      </w:rPr>
      <w:t xml:space="preserve">Calibre by Daftar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t xml:space="preserve">  ·  A product of Daftar Advisory · Amman  ·  Candidate notice and data record  ·  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6514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394740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ora" w:cs="Lora" w:eastAsia="Lora" w:hAnsi="Lora"/>
      <w:color w:val="0E211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lus Jakarta Sans" w:cs="Plus Jakarta Sans" w:eastAsia="Plus Jakarta Sans" w:hAnsi="Plus Jakarta Sans"/>
      <w:b/>
      <w:bCs/>
      <w:color w:val="1C3D3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notice and data record</dc:title>
  <dc:creator>Calibre by Daftar</dc:creator>
  <cp:lastModifiedBy>Un-named</cp:lastModifiedBy>
  <cp:revision>1</cp:revision>
  <dcterms:created xsi:type="dcterms:W3CDTF">2026-10-01T19:49:48.557Z</dcterms:created>
  <dcterms:modified xsi:type="dcterms:W3CDTF">2026-10-01T19:49:48.557Z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