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0" w:line="300" w:lineRule="auto"/>
      </w:pPr>
      <w:r>
        <w:rPr>
          <w:rFonts w:ascii="Lora" w:cs="Lora" w:eastAsia="Lora" w:hAnsi="Lora"/>
          <w:i/>
          <w:iCs/>
          <w:color w:val="0E211B"/>
          <w:sz w:val="34"/>
          <w:szCs w:val="34"/>
        </w:rPr>
        <w:t xml:space="preserve">Calibre</w:t>
      </w:r>
      <w:r>
        <w:rPr>
          <w:rFonts w:ascii="Plus Jakarta Sans" w:cs="Plus Jakarta Sans" w:eastAsia="Plus Jakarta Sans" w:hAnsi="Plus Jakarta Sans"/>
          <w:b/>
          <w:bCs/>
          <w:color w:val="596B66"/>
          <w:sz w:val="17"/>
          <w:szCs w:val="17"/>
        </w:rPr>
        <w:t xml:space="preserve">   by Daftar</w:t>
      </w:r>
    </w:p>
    <w:p>
      <w:pPr>
        <w:pBdr>
          <w:left w:val="single" w:color="265147" w:sz="18" w:space="8"/>
        </w:pBdr>
        <w:spacing w:after="220" w:before="0" w:line="300" w:lineRule="auto"/>
        <w:ind w:left="170"/>
      </w:pPr>
      <w:r>
        <w:rPr>
          <w:rFonts w:ascii="Plus Jakarta Sans" w:cs="Plus Jakarta Sans" w:eastAsia="Plus Jakarta Sans" w:hAnsi="Plus Jakarta Sans"/>
          <w:b/>
          <w:bCs/>
          <w:caps/>
          <w:color w:val="265147"/>
          <w:spacing w:val="30"/>
          <w:sz w:val="15"/>
          <w:szCs w:val="15"/>
        </w:rPr>
        <w:t xml:space="preserve">Private rate card</w:t>
      </w:r>
    </w:p>
    <w:p>
      <w:pPr>
        <w:spacing w:after="180" w:before="0" w:line="276" w:lineRule="auto"/>
      </w:pPr>
      <w:r>
        <w:rPr>
          <w:rFonts w:ascii="Lora" w:cs="Lora" w:eastAsia="Lora" w:hAnsi="Lora"/>
          <w:color w:val="0E211B"/>
          <w:sz w:val="46"/>
          <w:szCs w:val="46"/>
        </w:rPr>
        <w:t xml:space="preserve">The Calibre Verdict</w:t>
      </w:r>
    </w:p>
    <w:p>
      <w:pPr>
        <w:spacing w:after="240" w:before="0" w:line="330" w:lineRule="auto"/>
      </w:pPr>
      <w:r>
        <w:rPr>
          <w:rFonts w:ascii="Lora" w:cs="Lora" w:eastAsia="Lora" w:hAnsi="Lora"/>
          <w:color w:val="394740"/>
          <w:sz w:val="23"/>
          <w:szCs w:val="23"/>
        </w:rPr>
        <w:t xml:space="preserve">For a finance hire where the shortlist is defined and the panel needs one written, inspectable basis for its decision.</w:t>
      </w:r>
    </w:p>
    <w:tbl>
      <w:tblPr>
        <w:tblW w:type="dxa" w:w="9184"/>
        <w:tblBorders>
          <w:top w:val="none" w:color="auto" w:sz="0"/>
          <w:left w:val="none" w:color="auto" w:sz="0"/>
          <w:bottom w:val="none" w:color="auto" w:sz="0"/>
          <w:right w:val="none" w:color="auto" w:sz="0"/>
          <w:insideH w:val="none" w:color="auto" w:sz="0"/>
          <w:insideV w:val="none" w:color="auto" w:sz="0"/>
        </w:tblBorders>
      </w:tblPr>
      <w:tblGrid>
        <w:gridCol w:w="2700"/>
        <w:gridCol w:w="6484"/>
      </w:tblGrid>
      <w:tr>
        <w:trPr>
          <w:cantSplit/>
        </w:trPr>
        <w:tc>
          <w:tcPr>
            <w:tcW w:type="dxa" w:w="2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Fee</w:t>
            </w:r>
          </w:p>
        </w:tc>
        <w:tc>
          <w:tcPr>
            <w:tcW w:type="dxa" w:w="6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USD 5,500 fixed</w:t>
            </w:r>
          </w:p>
        </w:tc>
      </w:tr>
      <w:tr>
        <w:trPr>
          <w:cantSplit/>
        </w:trPr>
        <w:tc>
          <w:tcPr>
            <w:tcW w:type="dxa" w:w="2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Role</w:t>
            </w:r>
          </w:p>
        </w:tc>
        <w:tc>
          <w:tcPr>
            <w:tcW w:type="dxa" w:w="6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One finance role</w:t>
            </w:r>
          </w:p>
        </w:tc>
      </w:tr>
      <w:tr>
        <w:trPr>
          <w:cantSplit/>
        </w:trPr>
        <w:tc>
          <w:tcPr>
            <w:tcW w:type="dxa" w:w="2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Finalists</w:t>
            </w:r>
          </w:p>
        </w:tc>
        <w:tc>
          <w:tcPr>
            <w:tcW w:type="dxa" w:w="6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Up to four included. A fifth or sixth is quoted before start.</w:t>
            </w:r>
          </w:p>
        </w:tc>
      </w:tr>
      <w:tr>
        <w:trPr>
          <w:cantSplit/>
        </w:trPr>
        <w:tc>
          <w:tcPr>
            <w:tcW w:type="dxa" w:w="2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Panel</w:t>
            </w:r>
          </w:p>
        </w:tc>
        <w:tc>
          <w:tcPr>
            <w:tcW w:type="dxa" w:w="6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Two to five of your decision-makers</w:t>
            </w:r>
          </w:p>
        </w:tc>
      </w:tr>
      <w:tr>
        <w:trPr>
          <w:cantSplit/>
        </w:trPr>
        <w:tc>
          <w:tcPr>
            <w:tcW w:type="dxa" w:w="2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Criteria</w:t>
            </w:r>
          </w:p>
        </w:tc>
        <w:tc>
          <w:tcPr>
            <w:tcW w:type="dxa" w:w="6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Four to nine, weighted to 100, anchored at 1, 3 and 5</w:t>
            </w:r>
          </w:p>
        </w:tc>
      </w:tr>
      <w:tr>
        <w:trPr>
          <w:cantSplit/>
        </w:trPr>
        <w:tc>
          <w:tcPr>
            <w:tcW w:type="dxa" w:w="2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Delivery</w:t>
            </w:r>
          </w:p>
        </w:tc>
        <w:tc>
          <w:tcPr>
            <w:tcW w:type="dxa" w:w="6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Ten to twelve business days from criteria lock</w:t>
            </w:r>
          </w:p>
        </w:tc>
      </w:tr>
      <w:tr>
        <w:trPr>
          <w:cantSplit/>
        </w:trPr>
        <w:tc>
          <w:tcPr>
            <w:tcW w:type="dxa" w:w="2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Calibration</w:t>
            </w:r>
          </w:p>
        </w:tc>
        <w:tc>
          <w:tcPr>
            <w:tcW w:type="dxa" w:w="6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One facilitated 75-minute session</w:t>
            </w:r>
          </w:p>
        </w:tc>
      </w:tr>
      <w:tr>
        <w:trPr>
          <w:cantSplit/>
        </w:trPr>
        <w:tc>
          <w:tcPr>
            <w:tcW w:type="dxa" w:w="2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Output</w:t>
            </w:r>
          </w:p>
        </w:tc>
        <w:tc>
          <w:tcPr>
            <w:tcW w:type="dxa" w:w="6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One written Calibre Verdict and the editable working file</w:t>
            </w:r>
          </w:p>
        </w:tc>
      </w:tr>
    </w:tbl>
    <w:p>
      <w:pPr>
        <w:spacing w:after="0" w:before="0" w:line="160" w:lineRule="auto"/>
      </w:pPr>
      <w:r>
        <w:rPr>
          <w:rFonts w:ascii="Plus Jakarta Sans" w:cs="Plus Jakarta Sans" w:eastAsia="Plus Jakarta Sans" w:hAnsi="Plus Jakarta Sans"/>
          <w:color w:val="394740"/>
          <w:sz w:val="19"/>
          <w:szCs w:val="19"/>
        </w:rPr>
        <w:t xml:space="preserve"/>
      </w:r>
    </w:p>
    <w:p>
      <w:pPr>
        <w:keepNext/>
        <w:spacing w:after="30" w:before="200" w:line="300" w:lineRule="auto"/>
      </w:pPr>
      <w:r>
        <w:rPr>
          <w:rFonts w:ascii="Plus Jakarta Sans" w:cs="Plus Jakarta Sans" w:eastAsia="Plus Jakarta Sans" w:hAnsi="Plus Jakarta Sans"/>
          <w:b/>
          <w:bCs/>
          <w:color w:val="265147"/>
          <w:spacing w:val="30"/>
          <w:sz w:val="15"/>
          <w:szCs w:val="15"/>
        </w:rPr>
        <w:t xml:space="preserve">§ 01</w:t>
      </w:r>
    </w:p>
    <w:p>
      <w:pPr>
        <w:pStyle w:val="Heading1"/>
        <w:keepNext/>
        <w:pBdr>
          <w:bottom w:val="single" w:color="D5E3DE" w:sz="4" w:space="6"/>
        </w:pBdr>
        <w:spacing w:after="100" w:before="0"/>
      </w:pPr>
      <w:r>
        <w:rPr>
          <w:rFonts w:ascii="Lora" w:cs="Lora" w:eastAsia="Lora" w:hAnsi="Lora"/>
          <w:color w:val="0E211B"/>
          <w:sz w:val="30"/>
          <w:szCs w:val="30"/>
        </w:rPr>
        <w:t xml:space="preserve">What is included</w:t>
      </w:r>
    </w:p>
    <w:p>
      <w:pPr>
        <w:pStyle w:val="ListParagraph"/>
        <w:numPr>
          <w:ilvl w:val="0"/>
          <w:numId w:val="2"/>
        </w:numPr>
        <w:spacing w:after="30" w:before="0" w:line="300" w:lineRule="auto"/>
      </w:pPr>
      <w:r>
        <w:rPr>
          <w:rFonts w:ascii="Plus Jakarta Sans" w:cs="Plus Jakarta Sans" w:eastAsia="Plus Jakarta Sans" w:hAnsi="Plus Jakarta Sans"/>
          <w:color w:val="394740"/>
          <w:sz w:val="19"/>
          <w:szCs w:val="19"/>
        </w:rPr>
        <w:t xml:space="preserve">One 60-minute role-intake call.</w:t>
      </w:r>
    </w:p>
    <w:p>
      <w:pPr>
        <w:pStyle w:val="ListParagraph"/>
        <w:numPr>
          <w:ilvl w:val="0"/>
          <w:numId w:val="2"/>
        </w:numPr>
        <w:spacing w:after="30" w:before="0" w:line="300" w:lineRule="auto"/>
      </w:pPr>
      <w:r>
        <w:rPr>
          <w:rFonts w:ascii="Plus Jakarta Sans" w:cs="Plus Jakarta Sans" w:eastAsia="Plus Jakarta Sans" w:hAnsi="Plus Jakarta Sans"/>
          <w:color w:val="394740"/>
          <w:sz w:val="19"/>
          <w:szCs w:val="19"/>
        </w:rPr>
        <w:t xml:space="preserve">A written role brief: the seat, the first-year outcomes, what makes the hire hard, and verifiable non-negotiables.</w:t>
      </w:r>
    </w:p>
    <w:p>
      <w:pPr>
        <w:pStyle w:val="ListParagraph"/>
        <w:numPr>
          <w:ilvl w:val="0"/>
          <w:numId w:val="2"/>
        </w:numPr>
        <w:spacing w:after="30" w:before="0" w:line="300" w:lineRule="auto"/>
      </w:pPr>
      <w:r>
        <w:rPr>
          <w:rFonts w:ascii="Plus Jakarta Sans" w:cs="Plus Jakarta Sans" w:eastAsia="Plus Jakarta Sans" w:hAnsi="Plus Jakarta Sans"/>
          <w:color w:val="394740"/>
          <w:sz w:val="19"/>
          <w:szCs w:val="19"/>
        </w:rPr>
        <w:t xml:space="preserve">A locked rubric of four to nine criteria, weighted to 100, with anchors at 1, 3 and 5.</w:t>
      </w:r>
    </w:p>
    <w:p>
      <w:pPr>
        <w:pStyle w:val="ListParagraph"/>
        <w:numPr>
          <w:ilvl w:val="0"/>
          <w:numId w:val="2"/>
        </w:numPr>
        <w:spacing w:after="30" w:before="0" w:line="300" w:lineRule="auto"/>
      </w:pPr>
      <w:r>
        <w:rPr>
          <w:rFonts w:ascii="Plus Jakarta Sans" w:cs="Plus Jakarta Sans" w:eastAsia="Plus Jakarta Sans" w:hAnsi="Plus Jakarta Sans"/>
          <w:color w:val="394740"/>
          <w:sz w:val="19"/>
          <w:szCs w:val="19"/>
        </w:rPr>
        <w:t xml:space="preserve">Structured interview questions aligned to the rubric.</w:t>
      </w:r>
    </w:p>
    <w:p>
      <w:pPr>
        <w:pStyle w:val="ListParagraph"/>
        <w:numPr>
          <w:ilvl w:val="0"/>
          <w:numId w:val="2"/>
        </w:numPr>
        <w:spacing w:after="30" w:before="0" w:line="300" w:lineRule="auto"/>
      </w:pPr>
      <w:r>
        <w:rPr>
          <w:rFonts w:ascii="Plus Jakarta Sans" w:cs="Plus Jakarta Sans" w:eastAsia="Plus Jakarta Sans" w:hAnsi="Plus Jakarta Sans"/>
          <w:color w:val="394740"/>
          <w:sz w:val="19"/>
          <w:szCs w:val="19"/>
        </w:rPr>
        <w:t xml:space="preserve">Independent panel scoring, with a written evidence note behind every score.</w:t>
      </w:r>
    </w:p>
    <w:p>
      <w:pPr>
        <w:pStyle w:val="ListParagraph"/>
        <w:numPr>
          <w:ilvl w:val="0"/>
          <w:numId w:val="2"/>
        </w:numPr>
        <w:spacing w:after="30" w:before="0" w:line="300" w:lineRule="auto"/>
      </w:pPr>
      <w:r>
        <w:rPr>
          <w:rFonts w:ascii="Plus Jakarta Sans" w:cs="Plus Jakarta Sans" w:eastAsia="Plus Jakarta Sans" w:hAnsi="Plus Jakarta Sans"/>
          <w:color w:val="394740"/>
          <w:sz w:val="19"/>
          <w:szCs w:val="19"/>
        </w:rPr>
        <w:t xml:space="preserve">A divergence review and one facilitated calibration session.</w:t>
      </w:r>
    </w:p>
    <w:p>
      <w:pPr>
        <w:pStyle w:val="ListParagraph"/>
        <w:numPr>
          <w:ilvl w:val="0"/>
          <w:numId w:val="2"/>
        </w:numPr>
        <w:spacing w:after="30" w:before="0" w:line="300" w:lineRule="auto"/>
      </w:pPr>
      <w:r>
        <w:rPr>
          <w:rFonts w:ascii="Plus Jakarta Sans" w:cs="Plus Jakarta Sans" w:eastAsia="Plus Jakarta Sans" w:hAnsi="Plus Jakarta Sans"/>
          <w:color w:val="394740"/>
          <w:sz w:val="19"/>
          <w:szCs w:val="19"/>
        </w:rPr>
        <w:t xml:space="preserve">A written Verdict recording the evidence, the scores before and after calibration, the remaining risks and a human-written advisory recommendation, with a live readout.</w:t>
      </w:r>
    </w:p>
    <w:p>
      <w:pPr>
        <w:pStyle w:val="ListParagraph"/>
        <w:numPr>
          <w:ilvl w:val="0"/>
          <w:numId w:val="2"/>
        </w:numPr>
        <w:spacing w:after="30" w:before="0" w:line="300" w:lineRule="auto"/>
      </w:pPr>
      <w:r>
        <w:rPr>
          <w:rFonts w:ascii="Plus Jakarta Sans" w:cs="Plus Jakarta Sans" w:eastAsia="Plus Jakarta Sans" w:hAnsi="Plus Jakarta Sans"/>
          <w:color w:val="394740"/>
          <w:sz w:val="19"/>
          <w:szCs w:val="19"/>
        </w:rPr>
        <w:t xml:space="preserve">Outcome follow-up at 90, 180 and 365 days.</w:t>
      </w:r>
    </w:p>
    <w:p>
      <w:pPr>
        <w:keepNext/>
        <w:spacing w:after="30" w:before="200" w:line="300" w:lineRule="auto"/>
      </w:pPr>
      <w:r>
        <w:rPr>
          <w:rFonts w:ascii="Plus Jakarta Sans" w:cs="Plus Jakarta Sans" w:eastAsia="Plus Jakarta Sans" w:hAnsi="Plus Jakarta Sans"/>
          <w:b/>
          <w:bCs/>
          <w:color w:val="265147"/>
          <w:spacing w:val="30"/>
          <w:sz w:val="15"/>
          <w:szCs w:val="15"/>
        </w:rPr>
        <w:t xml:space="preserve">§ 02</w:t>
      </w:r>
    </w:p>
    <w:p>
      <w:pPr>
        <w:pStyle w:val="Heading1"/>
        <w:keepNext/>
        <w:pBdr>
          <w:bottom w:val="single" w:color="D5E3DE" w:sz="4" w:space="6"/>
        </w:pBdr>
        <w:spacing w:after="100" w:before="0"/>
      </w:pPr>
      <w:r>
        <w:rPr>
          <w:rFonts w:ascii="Lora" w:cs="Lora" w:eastAsia="Lora" w:hAnsi="Lora"/>
          <w:color w:val="0E211B"/>
          <w:sz w:val="30"/>
          <w:szCs w:val="30"/>
        </w:rPr>
        <w:t xml:space="preserve">How the engagement runs</w:t>
      </w:r>
    </w:p>
    <w:tbl>
      <w:tblPr>
        <w:tblW w:type="dxa" w:w="9184"/>
        <w:tblBorders>
          <w:top w:val="none" w:color="auto" w:sz="0"/>
          <w:left w:val="none" w:color="auto" w:sz="0"/>
          <w:bottom w:val="none" w:color="auto" w:sz="0"/>
          <w:right w:val="none" w:color="auto" w:sz="0"/>
          <w:insideH w:val="none" w:color="auto" w:sz="0"/>
          <w:insideV w:val="none" w:color="auto" w:sz="0"/>
        </w:tblBorders>
      </w:tblPr>
      <w:tblGrid>
        <w:gridCol w:w="1900"/>
        <w:gridCol w:w="7284"/>
      </w:tblGrid>
      <w:tr>
        <w:trPr>
          <w:cantSplit/>
          <w:tblHeader/>
        </w:trPr>
        <w:tc>
          <w:tcPr>
            <w:tcW w:type="dxa" w:w="1900"/>
            <w:tcBorders>
              <w:top w:val="none" w:color="auto" w:sz="0"/>
              <w:left w:val="none" w:color="auto" w:sz="0"/>
              <w:bottom w:val="single" w:color="265147" w:sz="12"/>
              <w:right w:val="none" w:color="auto" w:sz="0"/>
            </w:tcBorders>
            <w:shd w:fill="F0F5F3" w:color="auto" w:val="clear"/>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aps/>
                <w:color w:val="0E211B"/>
                <w:spacing w:val="10"/>
                <w:sz w:val="15"/>
                <w:szCs w:val="15"/>
              </w:rPr>
              <w:t xml:space="preserve">Step</w:t>
            </w:r>
          </w:p>
        </w:tc>
        <w:tc>
          <w:tcPr>
            <w:tcW w:type="dxa" w:w="7284"/>
            <w:tcBorders>
              <w:top w:val="none" w:color="auto" w:sz="0"/>
              <w:left w:val="none" w:color="auto" w:sz="0"/>
              <w:bottom w:val="single" w:color="265147" w:sz="12"/>
              <w:right w:val="none" w:color="auto" w:sz="0"/>
            </w:tcBorders>
            <w:shd w:fill="F0F5F3" w:color="auto" w:val="clear"/>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aps/>
                <w:color w:val="0E211B"/>
                <w:spacing w:val="10"/>
                <w:sz w:val="15"/>
                <w:szCs w:val="15"/>
              </w:rPr>
              <w:t xml:space="preserve">What happens</w:t>
            </w:r>
          </w:p>
        </w:tc>
      </w:tr>
      <w:tr>
        <w:trPr>
          <w:cantSplit/>
        </w:trPr>
        <w:tc>
          <w:tcPr>
            <w:tcW w:type="dxa" w:w="19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1  Intake</w:t>
            </w:r>
          </w:p>
        </w:tc>
        <w:tc>
          <w:tcPr>
            <w:tcW w:type="dxa" w:w="72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A 60-minute call fixes the role, the context and the draft criteria. This sits before the clock.</w:t>
            </w:r>
          </w:p>
        </w:tc>
      </w:tr>
      <w:tr>
        <w:trPr>
          <w:cantSplit/>
        </w:trPr>
        <w:tc>
          <w:tcPr>
            <w:tcW w:type="dxa" w:w="19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2  Lock</w:t>
            </w:r>
          </w:p>
        </w:tc>
        <w:tc>
          <w:tcPr>
            <w:tcW w:type="dxa" w:w="72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You sign off the criteria and weightings. The clock starts here. They do not change once scoring begins.</w:t>
            </w:r>
          </w:p>
        </w:tc>
      </w:tr>
      <w:tr>
        <w:trPr>
          <w:cantSplit/>
        </w:trPr>
        <w:tc>
          <w:tcPr>
            <w:tcW w:type="dxa" w:w="19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3  Score</w:t>
            </w:r>
          </w:p>
        </w:tc>
        <w:tc>
          <w:tcPr>
            <w:tcW w:type="dxa" w:w="72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Each panelist scores every finalist independently against the anchors, with an evidence note behind every score. No one sees another panelist's scores until all are in.</w:t>
            </w:r>
          </w:p>
        </w:tc>
      </w:tr>
      <w:tr>
        <w:trPr>
          <w:cantSplit/>
        </w:trPr>
        <w:tc>
          <w:tcPr>
            <w:tcW w:type="dxa" w:w="19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4  Compare</w:t>
            </w:r>
          </w:p>
        </w:tc>
        <w:tc>
          <w:tcPr>
            <w:tcW w:type="dxa" w:w="72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Calibre reveals the spread, criterion by criterion. Any gap of two points or more is flagged for calibration.</w:t>
            </w:r>
          </w:p>
        </w:tc>
      </w:tr>
      <w:tr>
        <w:trPr>
          <w:cantSplit/>
        </w:trPr>
        <w:tc>
          <w:tcPr>
            <w:tcW w:type="dxa" w:w="19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5  Calibrate</w:t>
            </w:r>
          </w:p>
        </w:tc>
        <w:tc>
          <w:tcPr>
            <w:tcW w:type="dxa" w:w="72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One facilitated 75-minute session. Every flagged score is discussed and resolved with a written reason. The original scores stay in the record.</w:t>
            </w:r>
          </w:p>
        </w:tc>
      </w:tr>
      <w:tr>
        <w:trPr>
          <w:cantSplit/>
        </w:trPr>
        <w:tc>
          <w:tcPr>
            <w:tcW w:type="dxa" w:w="19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6  Verdict</w:t>
            </w:r>
          </w:p>
        </w:tc>
        <w:tc>
          <w:tcPr>
            <w:tcW w:type="dxa" w:w="72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The written Verdict follows within three business days of the session, with a live readout to challenge the reasoning.</w:t>
            </w:r>
          </w:p>
        </w:tc>
      </w:tr>
      <w:tr>
        <w:trPr>
          <w:cantSplit/>
        </w:trPr>
        <w:tc>
          <w:tcPr>
            <w:tcW w:type="dxa" w:w="19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7  Outcomes</w:t>
            </w:r>
          </w:p>
        </w:tc>
        <w:tc>
          <w:tcPr>
            <w:tcW w:type="dxa" w:w="72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Calibre records what you decided and follows up at 90, 180 and 365 days.</w:t>
            </w:r>
          </w:p>
        </w:tc>
      </w:tr>
    </w:tbl>
    <w:p>
      <w:pPr>
        <w:spacing w:after="0" w:before="0" w:line="160" w:lineRule="auto"/>
      </w:pPr>
      <w:r>
        <w:rPr>
          <w:rFonts w:ascii="Plus Jakarta Sans" w:cs="Plus Jakarta Sans" w:eastAsia="Plus Jakarta Sans" w:hAnsi="Plus Jakarta Sans"/>
          <w:color w:val="394740"/>
          <w:sz w:val="19"/>
          <w:szCs w:val="19"/>
        </w:rPr>
        <w:t xml:space="preserve"/>
      </w:r>
    </w:p>
    <w:p>
      <w:pPr>
        <w:keepNext/>
        <w:spacing w:after="30" w:before="200" w:line="300" w:lineRule="auto"/>
      </w:pPr>
      <w:r>
        <w:rPr>
          <w:rFonts w:ascii="Plus Jakarta Sans" w:cs="Plus Jakarta Sans" w:eastAsia="Plus Jakarta Sans" w:hAnsi="Plus Jakarta Sans"/>
          <w:b/>
          <w:bCs/>
          <w:color w:val="265147"/>
          <w:spacing w:val="30"/>
          <w:sz w:val="15"/>
          <w:szCs w:val="15"/>
        </w:rPr>
        <w:t xml:space="preserve">§ 03</w:t>
      </w:r>
    </w:p>
    <w:p>
      <w:pPr>
        <w:pStyle w:val="Heading1"/>
        <w:keepNext/>
        <w:pBdr>
          <w:bottom w:val="single" w:color="D5E3DE" w:sz="4" w:space="6"/>
        </w:pBdr>
        <w:spacing w:after="100" w:before="0"/>
      </w:pPr>
      <w:r>
        <w:rPr>
          <w:rFonts w:ascii="Lora" w:cs="Lora" w:eastAsia="Lora" w:hAnsi="Lora"/>
          <w:color w:val="0E211B"/>
          <w:sz w:val="30"/>
          <w:szCs w:val="30"/>
        </w:rPr>
        <w:t xml:space="preserve">What is not included</w:t>
      </w:r>
    </w:p>
    <w:p>
      <w:pPr>
        <w:pStyle w:val="ListParagraph"/>
        <w:numPr>
          <w:ilvl w:val="0"/>
          <w:numId w:val="2"/>
        </w:numPr>
        <w:spacing w:after="30" w:before="0" w:line="300" w:lineRule="auto"/>
      </w:pPr>
      <w:r>
        <w:rPr>
          <w:rFonts w:ascii="Plus Jakarta Sans" w:cs="Plus Jakarta Sans" w:eastAsia="Plus Jakarta Sans" w:hAnsi="Plus Jakarta Sans"/>
          <w:color w:val="394740"/>
          <w:sz w:val="19"/>
          <w:szCs w:val="19"/>
        </w:rPr>
        <w:t xml:space="preserve">Candidate sourcing, interview scheduling, reference checks or offer negotiation.</w:t>
      </w:r>
    </w:p>
    <w:p>
      <w:pPr>
        <w:pStyle w:val="ListParagraph"/>
        <w:numPr>
          <w:ilvl w:val="0"/>
          <w:numId w:val="2"/>
        </w:numPr>
        <w:spacing w:after="30" w:before="0" w:line="300" w:lineRule="auto"/>
      </w:pPr>
      <w:r>
        <w:rPr>
          <w:rFonts w:ascii="Plus Jakarta Sans" w:cs="Plus Jakarta Sans" w:eastAsia="Plus Jakarta Sans" w:hAnsi="Plus Jakarta Sans"/>
          <w:color w:val="394740"/>
          <w:sz w:val="19"/>
          <w:szCs w:val="19"/>
        </w:rPr>
        <w:t xml:space="preserve">Psychometric, personality, work-style, culture or fit assessment.</w:t>
      </w:r>
    </w:p>
    <w:p>
      <w:pPr>
        <w:pStyle w:val="ListParagraph"/>
        <w:numPr>
          <w:ilvl w:val="0"/>
          <w:numId w:val="2"/>
        </w:numPr>
        <w:spacing w:after="30" w:before="0" w:line="300" w:lineRule="auto"/>
      </w:pPr>
      <w:r>
        <w:rPr>
          <w:rFonts w:ascii="Plus Jakarta Sans" w:cs="Plus Jakarta Sans" w:eastAsia="Plus Jakarta Sans" w:hAnsi="Plus Jakarta Sans"/>
          <w:color w:val="394740"/>
          <w:sz w:val="19"/>
          <w:szCs w:val="19"/>
        </w:rPr>
        <w:t xml:space="preserve">Automated candidate ranking, or a recommendation generated by a model.</w:t>
      </w:r>
    </w:p>
    <w:p>
      <w:pPr>
        <w:pStyle w:val="ListParagraph"/>
        <w:numPr>
          <w:ilvl w:val="0"/>
          <w:numId w:val="2"/>
        </w:numPr>
        <w:spacing w:after="30" w:before="0" w:line="300" w:lineRule="auto"/>
      </w:pPr>
      <w:r>
        <w:rPr>
          <w:rFonts w:ascii="Plus Jakarta Sans" w:cs="Plus Jakarta Sans" w:eastAsia="Plus Jakarta Sans" w:hAnsi="Plus Jakarta Sans"/>
          <w:color w:val="394740"/>
          <w:sz w:val="19"/>
          <w:szCs w:val="19"/>
        </w:rPr>
        <w:t xml:space="preserve">A candidate portal or any candidate-facing test.</w:t>
      </w:r>
    </w:p>
    <w:p>
      <w:pPr>
        <w:pStyle w:val="ListParagraph"/>
        <w:numPr>
          <w:ilvl w:val="0"/>
          <w:numId w:val="2"/>
        </w:numPr>
        <w:spacing w:after="30" w:before="0" w:line="300" w:lineRule="auto"/>
      </w:pPr>
      <w:r>
        <w:rPr>
          <w:rFonts w:ascii="Plus Jakarta Sans" w:cs="Plus Jakarta Sans" w:eastAsia="Plus Jakarta Sans" w:hAnsi="Plus Jakarta Sans"/>
          <w:color w:val="394740"/>
          <w:sz w:val="19"/>
          <w:szCs w:val="19"/>
        </w:rPr>
        <w:t xml:space="preserve">The hiring decision itself.</w:t>
      </w:r>
    </w:p>
    <w:p>
      <w:pPr>
        <w:keepNext/>
        <w:spacing w:after="30" w:before="200" w:line="300" w:lineRule="auto"/>
      </w:pPr>
      <w:r>
        <w:rPr>
          <w:rFonts w:ascii="Plus Jakarta Sans" w:cs="Plus Jakarta Sans" w:eastAsia="Plus Jakarta Sans" w:hAnsi="Plus Jakarta Sans"/>
          <w:b/>
          <w:bCs/>
          <w:color w:val="265147"/>
          <w:spacing w:val="30"/>
          <w:sz w:val="15"/>
          <w:szCs w:val="15"/>
        </w:rPr>
        <w:t xml:space="preserve">§ 04</w:t>
      </w:r>
    </w:p>
    <w:p>
      <w:pPr>
        <w:pStyle w:val="Heading1"/>
        <w:keepNext/>
        <w:pBdr>
          <w:bottom w:val="single" w:color="D5E3DE" w:sz="4" w:space="6"/>
        </w:pBdr>
        <w:spacing w:after="100" w:before="0"/>
      </w:pPr>
      <w:r>
        <w:rPr>
          <w:rFonts w:ascii="Lora" w:cs="Lora" w:eastAsia="Lora" w:hAnsi="Lora"/>
          <w:color w:val="0E211B"/>
          <w:sz w:val="30"/>
          <w:szCs w:val="30"/>
        </w:rPr>
        <w:t xml:space="preserve">Terms</w:t>
      </w:r>
    </w:p>
    <w:tbl>
      <w:tblPr>
        <w:tblW w:type="dxa" w:w="9184"/>
        <w:tblBorders>
          <w:top w:val="none" w:color="auto" w:sz="0"/>
          <w:left w:val="none" w:color="auto" w:sz="0"/>
          <w:bottom w:val="none" w:color="auto" w:sz="0"/>
          <w:right w:val="none" w:color="auto" w:sz="0"/>
          <w:insideH w:val="none" w:color="auto" w:sz="0"/>
          <w:insideV w:val="none" w:color="auto" w:sz="0"/>
        </w:tblBorders>
      </w:tblPr>
      <w:tblGrid>
        <w:gridCol w:w="2700"/>
        <w:gridCol w:w="6484"/>
      </w:tblGrid>
      <w:tr>
        <w:trPr>
          <w:cantSplit/>
        </w:trPr>
        <w:tc>
          <w:tcPr>
            <w:tcW w:type="dxa" w:w="2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Fee basis</w:t>
            </w:r>
          </w:p>
        </w:tc>
        <w:tc>
          <w:tcPr>
            <w:tcW w:type="dxa" w:w="6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Fixed fee. Not hourly, and not contingent on a hire being made.</w:t>
            </w:r>
          </w:p>
        </w:tc>
      </w:tr>
      <w:tr>
        <w:trPr>
          <w:cantSplit/>
        </w:trPr>
        <w:tc>
          <w:tcPr>
            <w:tcW w:type="dxa" w:w="2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Payment</w:t>
            </w:r>
          </w:p>
        </w:tc>
        <w:tc>
          <w:tcPr>
            <w:tcW w:type="dxa" w:w="6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50% on criteria lock. 50% on delivery of the written Verdict.</w:t>
            </w:r>
          </w:p>
        </w:tc>
      </w:tr>
      <w:tr>
        <w:trPr>
          <w:cantSplit/>
        </w:trPr>
        <w:tc>
          <w:tcPr>
            <w:tcW w:type="dxa" w:w="2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Currency</w:t>
            </w:r>
          </w:p>
        </w:tc>
        <w:tc>
          <w:tcPr>
            <w:tcW w:type="dxa" w:w="6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Invoiced in USD. SAR or AED equivalents on request.</w:t>
            </w:r>
          </w:p>
        </w:tc>
      </w:tr>
      <w:tr>
        <w:trPr>
          <w:cantSplit/>
        </w:trPr>
        <w:tc>
          <w:tcPr>
            <w:tcW w:type="dxa" w:w="2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Valid for</w:t>
            </w:r>
          </w:p>
        </w:tc>
        <w:tc>
          <w:tcPr>
            <w:tcW w:type="dxa" w:w="6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60 days from issue.</w:t>
            </w:r>
          </w:p>
        </w:tc>
      </w:tr>
      <w:tr>
        <w:trPr>
          <w:cantSplit/>
        </w:trPr>
        <w:tc>
          <w:tcPr>
            <w:tcW w:type="dxa" w:w="2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Scope change</w:t>
            </w:r>
          </w:p>
        </w:tc>
        <w:tc>
          <w:tcPr>
            <w:tcW w:type="dxa" w:w="6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Additional finalists, a second role, or a rubric change after lock require a written variation and a new lock, quoted before any work begins.</w:t>
            </w:r>
          </w:p>
        </w:tc>
      </w:tr>
      <w:tr>
        <w:trPr>
          <w:cantSplit/>
        </w:trPr>
        <w:tc>
          <w:tcPr>
            <w:tcW w:type="dxa" w:w="2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Data handling</w:t>
            </w:r>
          </w:p>
        </w:tc>
        <w:tc>
          <w:tcPr>
            <w:tcW w:type="dxa" w:w="6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Candidate notice, access, retention and deletion follow the engagement letter and the Calibre data record. Candidate personal data is deleted 90 days after the Verdict is issued unless the engagement letter sets another lawful schedule.</w:t>
            </w:r>
          </w:p>
        </w:tc>
      </w:tr>
      <w:tr>
        <w:trPr>
          <w:cantSplit/>
        </w:trPr>
        <w:tc>
          <w:tcPr>
            <w:tcW w:type="dxa" w:w="2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Decision</w:t>
            </w:r>
          </w:p>
        </w:tc>
        <w:tc>
          <w:tcPr>
            <w:tcW w:type="dxa" w:w="6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Calibre provides advisory structure. The employer makes the hiring decision and owns its consequences.</w:t>
            </w:r>
          </w:p>
        </w:tc>
      </w:tr>
      <w:tr>
        <w:trPr>
          <w:cantSplit/>
        </w:trPr>
        <w:tc>
          <w:tcPr>
            <w:tcW w:type="dxa" w:w="2700"/>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b/>
                <w:bCs/>
                <w:color w:val="1C3D35"/>
                <w:sz w:val="19"/>
                <w:szCs w:val="19"/>
              </w:rPr>
              <w:t xml:space="preserve">Status</w:t>
            </w:r>
          </w:p>
        </w:tc>
        <w:tc>
          <w:tcPr>
            <w:tcW w:type="dxa" w:w="6484"/>
            <w:tcBorders>
              <w:top w:val="none" w:color="auto" w:sz="0"/>
              <w:left w:val="none" w:color="auto" w:sz="0"/>
              <w:bottom w:val="single" w:color="D5E3DE" w:sz="4"/>
              <w:right w:val="none" w:color="auto" w:sz="0"/>
            </w:tcBorders>
            <w:tcMar>
              <w:top w:type="dxa" w:w="60"/>
              <w:left w:type="dxa" w:w="110"/>
              <w:bottom w:type="dxa" w:w="60"/>
              <w:right w:type="dxa" w:w="110"/>
            </w:tcMar>
          </w:tcPr>
          <w:p>
            <w:pPr>
              <w:spacing w:after="0" w:before="0" w:line="264" w:lineRule="auto"/>
            </w:pPr>
            <w:r>
              <w:rPr>
                <w:rFonts w:ascii="Plus Jakarta Sans" w:cs="Plus Jakarta Sans" w:eastAsia="Plus Jakarta Sans" w:hAnsi="Plus Jakarta Sans"/>
                <w:color w:val="394740"/>
                <w:sz w:val="19"/>
                <w:szCs w:val="19"/>
              </w:rPr>
              <w:t xml:space="preserve">A private rate card for a direct conversation. Not a published price list, and not an offer capable of acceptance until confirmed in an engagement letter.</w:t>
            </w:r>
          </w:p>
        </w:tc>
      </w:tr>
    </w:tbl>
    <w:p>
      <w:pPr>
        <w:spacing w:after="0" w:before="0" w:line="160" w:lineRule="auto"/>
      </w:pPr>
      <w:r>
        <w:rPr>
          <w:rFonts w:ascii="Plus Jakarta Sans" w:cs="Plus Jakarta Sans" w:eastAsia="Plus Jakarta Sans" w:hAnsi="Plus Jakarta Sans"/>
          <w:color w:val="394740"/>
          <w:sz w:val="19"/>
          <w:szCs w:val="19"/>
        </w:rPr>
        <w:t xml:space="preserve"/>
      </w:r>
    </w:p>
    <w:p>
      <w:pPr>
        <w:keepNext/>
        <w:pBdr>
          <w:left w:val="single" w:color="265147" w:sz="24" w:space="10"/>
        </w:pBdr>
        <w:shd w:fill="D5E3DE" w:color="auto" w:val="clear"/>
        <w:spacing w:after="0" w:before="160" w:line="280" w:lineRule="auto"/>
        <w:ind w:left="200" w:right="120"/>
      </w:pPr>
      <w:r>
        <w:rPr>
          <w:rFonts w:ascii="Plus Jakarta Sans" w:cs="Plus Jakarta Sans" w:eastAsia="Plus Jakarta Sans" w:hAnsi="Plus Jakarta Sans"/>
          <w:b/>
          <w:bCs/>
          <w:caps/>
          <w:color w:val="265147"/>
          <w:spacing w:val="30"/>
          <w:sz w:val="15"/>
          <w:szCs w:val="15"/>
        </w:rPr>
        <w:t xml:space="preserve">Use statement</w:t>
      </w:r>
    </w:p>
    <w:p>
      <w:pPr>
        <w:pBdr>
          <w:left w:val="single" w:color="265147" w:sz="24" w:space="10"/>
        </w:pBdr>
        <w:shd w:fill="D5E3DE" w:color="auto" w:val="clear"/>
        <w:spacing w:after="200" w:before="0" w:line="290" w:lineRule="auto"/>
        <w:ind w:left="200" w:right="120"/>
      </w:pPr>
      <w:r>
        <w:rPr>
          <w:rFonts w:ascii="Plus Jakarta Sans" w:cs="Plus Jakarta Sans" w:eastAsia="Plus Jakarta Sans" w:hAnsi="Plus Jakarta Sans"/>
          <w:color w:val="0E211B"/>
          <w:sz w:val="19"/>
          <w:szCs w:val="19"/>
        </w:rPr>
        <w:t xml:space="preserve">Structured hiring advisory for finance roles. Not a psychometric assessment. Does not predict performance. The decision, and its consequences, rest with the employer.</w:t>
      </w:r>
    </w:p>
    <w:sectPr>
      <w:footerReference w:type="default" r:id="rId6"/>
      <w:pgSz w:w="11906" w:h="16838" w:orient="portrait"/>
      <w:pgMar w:top="1361" w:right="1361" w:bottom="1361" w:left="1361" w:header="708" w:footer="6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3DE" w:sz="4" w:space="6"/>
      </w:pBdr>
      <w:spacing w:after="0" w:before="0" w:line="300" w:lineRule="auto"/>
    </w:pPr>
    <w:r>
      <w:rPr>
        <w:rFonts w:ascii="Plus Jakarta Sans" w:cs="Plus Jakarta Sans" w:eastAsia="Plus Jakarta Sans" w:hAnsi="Plus Jakarta Sans"/>
        <w:b/>
        <w:bCs/>
        <w:color w:val="1C3D35"/>
        <w:sz w:val="15"/>
        <w:szCs w:val="15"/>
      </w:rPr>
      <w:t xml:space="preserve">Calibre by Daftar</w:t>
    </w:r>
    <w:r>
      <w:rPr>
        <w:rFonts w:ascii="Plus Jakarta Sans" w:cs="Plus Jakarta Sans" w:eastAsia="Plus Jakarta Sans" w:hAnsi="Plus Jakarta Sans"/>
        <w:color w:val="596B66"/>
        <w:sz w:val="15"/>
        <w:szCs w:val="15"/>
      </w:rPr>
      <w:t xml:space="preserve">  ·  A product of Daftar Advisory · Amman  ·  Private rate card  ·  </w:t>
    </w:r>
    <w:r>
      <w:rPr>
        <w:rFonts w:ascii="Plus Jakarta Sans" w:cs="Plus Jakarta Sans" w:eastAsia="Plus Jakarta Sans" w:hAnsi="Plus Jakarta Sans"/>
        <w:color w:val="596B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6514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lus Jakarta Sans" w:cs="Plus Jakarta Sans" w:eastAsia="Plus Jakarta Sans" w:hAnsi="Plus Jakarta Sans"/>
        <w:color w:val="394740"/>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Lora" w:cs="Lora" w:eastAsia="Lora" w:hAnsi="Lora"/>
      <w:color w:val="0E211B"/>
      <w:sz w:val="30"/>
      <w:szCs w:val="30"/>
    </w:rPr>
  </w:style>
  <w:style w:type="paragraph" w:styleId="Heading2">
    <w:name w:val="Heading 2"/>
    <w:basedOn w:val="Normal"/>
    <w:next w:val="Normal"/>
    <w:qFormat/>
    <w:pPr>
      <w:outlineLvl w:val="1"/>
    </w:pPr>
    <w:rPr>
      <w:rFonts w:ascii="Plus Jakarta Sans" w:cs="Plus Jakarta Sans" w:eastAsia="Plus Jakarta Sans" w:hAnsi="Plus Jakarta Sans"/>
      <w:b/>
      <w:bCs/>
      <w:color w:val="1C3D35"/>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Private rate card</dc:title>
  <dc:creator>Calibre by Daftar</dc:creator>
  <cp:lastModifiedBy>Un-named</cp:lastModifiedBy>
  <cp:revision>1</cp:revision>
  <dcterms:created xsi:type="dcterms:W3CDTF">2026-10-01T19:49:48.335Z</dcterms:created>
  <dcterms:modified xsi:type="dcterms:W3CDTF">2026-10-01T19:49:48.336Z</dcterms:modified>
</cp:coreProperties>
</file>

<file path=docProps/custom.xml><?xml version="1.0" encoding="utf-8"?>
<Properties xmlns="http://schemas.openxmlformats.org/officeDocument/2006/custom-properties" xmlns:vt="http://schemas.openxmlformats.org/officeDocument/2006/docPropsVTypes"/>
</file>