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before="0" w:line="300" w:lineRule="auto"/>
      </w:pPr>
      <w:r>
        <w:rPr>
          <w:rFonts w:ascii="Lora" w:cs="Lora" w:eastAsia="Lora" w:hAnsi="Lora"/>
          <w:i/>
          <w:iCs/>
          <w:color w:val="0E211B"/>
          <w:sz w:val="34"/>
          <w:szCs w:val="34"/>
        </w:rPr>
        <w:t xml:space="preserve">Calibre</w:t>
      </w:r>
      <w:r>
        <w:rPr>
          <w:rFonts w:ascii="Plus Jakarta Sans" w:cs="Plus Jakarta Sans" w:eastAsia="Plus Jakarta Sans" w:hAnsi="Plus Jakarta Sans"/>
          <w:b/>
          <w:bCs/>
          <w:color w:val="596B66"/>
          <w:sz w:val="17"/>
          <w:szCs w:val="17"/>
        </w:rPr>
        <w:t xml:space="preserve">   by Daftar</w:t>
      </w:r>
    </w:p>
    <w:p>
      <w:pPr>
        <w:pBdr>
          <w:left w:val="single" w:color="265147" w:sz="18" w:space="8"/>
        </w:pBdr>
        <w:spacing w:after="220" w:before="0" w:line="300" w:lineRule="auto"/>
        <w:ind w:left="170"/>
      </w:pPr>
      <w:r>
        <w:rPr>
          <w:rFonts w:ascii="Plus Jakarta Sans" w:cs="Plus Jakarta Sans" w:eastAsia="Plus Jakarta Sans" w:hAnsi="Plus Jakarta Sans"/>
          <w:b/>
          <w:bCs/>
          <w:caps/>
          <w:color w:val="265147"/>
          <w:spacing w:val="30"/>
          <w:sz w:val="15"/>
          <w:szCs w:val="15"/>
        </w:rPr>
        <w:t xml:space="preserve">Service definition</w:t>
      </w:r>
    </w:p>
    <w:p>
      <w:pPr>
        <w:spacing w:after="180" w:before="0" w:line="276" w:lineRule="auto"/>
      </w:pPr>
      <w:r>
        <w:rPr>
          <w:rFonts w:ascii="Lora" w:cs="Lora" w:eastAsia="Lora" w:hAnsi="Lora"/>
          <w:color w:val="0E211B"/>
          <w:sz w:val="46"/>
          <w:szCs w:val="46"/>
        </w:rPr>
        <w:t xml:space="preserve">One role, one panel, one written Verdict</w:t>
      </w:r>
    </w:p>
    <w:p>
      <w:pPr>
        <w:spacing w:after="240" w:before="0" w:line="330" w:lineRule="auto"/>
      </w:pPr>
      <w:r>
        <w:rPr>
          <w:rFonts w:ascii="Lora" w:cs="Lora" w:eastAsia="Lora" w:hAnsi="Lora"/>
          <w:color w:val="394740"/>
          <w:sz w:val="23"/>
          <w:szCs w:val="23"/>
        </w:rPr>
        <w:t xml:space="preserve">The Calibre Verdict is a bounded, evidence-led service for a defined finance-role shortlist. It creates a common standard, preserves independent judgment, makes disagreement visible, and ends with a human-written advisory memo.</w:t>
      </w:r>
    </w:p>
    <w:p>
      <w:pPr>
        <w:keepNext/>
        <w:spacing w:after="30" w:before="200" w:line="300" w:lineRule="auto"/>
      </w:pPr>
      <w:r>
        <w:rPr>
          <w:rFonts w:ascii="Plus Jakarta Sans" w:cs="Plus Jakarta Sans" w:eastAsia="Plus Jakarta Sans" w:hAnsi="Plus Jakarta Sans"/>
          <w:b/>
          <w:bCs/>
          <w:color w:val="265147"/>
          <w:spacing w:val="30"/>
          <w:sz w:val="15"/>
          <w:szCs w:val="15"/>
        </w:rPr>
        <w:t xml:space="preserve">§ 01</w:t>
      </w:r>
    </w:p>
    <w:p>
      <w:pPr>
        <w:pStyle w:val="Heading1"/>
        <w:keepNext/>
        <w:pBdr>
          <w:bottom w:val="single" w:color="D5E3DE" w:sz="4" w:space="6"/>
        </w:pBdr>
        <w:spacing w:after="100" w:before="0"/>
      </w:pPr>
      <w:r>
        <w:rPr>
          <w:rFonts w:ascii="Lora" w:cs="Lora" w:eastAsia="Lora" w:hAnsi="Lora"/>
          <w:color w:val="0E211B"/>
          <w:sz w:val="30"/>
          <w:szCs w:val="30"/>
        </w:rPr>
        <w:t xml:space="preserve">Service boundary</w:t>
      </w:r>
    </w:p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700"/>
        <w:gridCol w:w="6484"/>
      </w:tblGrid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Role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One finance role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Finalists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Two to six. Four are included in the fee; a fifth or sixth is quoted before start.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Panel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Two to five decision-makers, one of them the hiring lead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Criteria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Four to nine, weighted to 100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Fee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USD 5,500 fixed. 50% on criteria lock, 50% on delivery of the written Verdict.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Output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One written Calibre Verdict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Decision owner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The employer</w:t>
            </w:r>
          </w:p>
        </w:tc>
      </w:tr>
    </w:tbl>
    <w:p>
      <w:pPr>
        <w:spacing w:after="0" w:before="0" w:line="16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/>
      </w:r>
    </w:p>
    <w:p>
      <w:pPr>
        <w:pStyle w:val="Heading2"/>
        <w:keepNext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1C3D35"/>
          <w:sz w:val="20"/>
          <w:szCs w:val="20"/>
        </w:rPr>
        <w:t xml:space="preserve">Included</w:t>
      </w:r>
    </w:p>
    <w:p>
      <w:pPr>
        <w:pStyle w:val="ListParagraph"/>
        <w:numPr>
          <w:ilvl w:val="0"/>
          <w:numId w:val="2"/>
        </w:numPr>
        <w:spacing w:after="3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A role brief covering the seat, three to five first-year outcomes, what makes the hire hard, and verifiable job-related non-negotiables.</w:t>
      </w:r>
    </w:p>
    <w:p>
      <w:pPr>
        <w:pStyle w:val="ListParagraph"/>
        <w:numPr>
          <w:ilvl w:val="0"/>
          <w:numId w:val="2"/>
        </w:numPr>
        <w:spacing w:after="3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A locked rubric with criterion weights, anchors at 1, 3 and 5, permitted evidence sources and structured questions.</w:t>
      </w:r>
    </w:p>
    <w:p>
      <w:pPr>
        <w:pStyle w:val="ListParagraph"/>
        <w:numPr>
          <w:ilvl w:val="0"/>
          <w:numId w:val="2"/>
        </w:numPr>
        <w:spacing w:after="3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Independent panel scoring before reveal, with a written evidence note behind every score.</w:t>
      </w:r>
    </w:p>
    <w:p>
      <w:pPr>
        <w:pStyle w:val="ListParagraph"/>
        <w:numPr>
          <w:ilvl w:val="0"/>
          <w:numId w:val="2"/>
        </w:numPr>
        <w:spacing w:after="3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A divergence review and mandatory calibration of every flagged finalist-criterion cell.</w:t>
      </w:r>
    </w:p>
    <w:p>
      <w:pPr>
        <w:pStyle w:val="ListParagraph"/>
        <w:numPr>
          <w:ilvl w:val="0"/>
          <w:numId w:val="2"/>
        </w:numPr>
        <w:spacing w:after="3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A final memo containing the pre-calibration record, calibrated results, risks, uncertainties, the recommendation and the outcome plan.</w:t>
      </w:r>
    </w:p>
    <w:p>
      <w:pPr>
        <w:pStyle w:val="ListParagraph"/>
        <w:numPr>
          <w:ilvl w:val="0"/>
          <w:numId w:val="2"/>
        </w:numPr>
        <w:spacing w:after="3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Outcome checks at 90, 180 and 365 days.</w:t>
      </w:r>
    </w:p>
    <w:p>
      <w:pPr>
        <w:pStyle w:val="Heading2"/>
        <w:keepNext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1C3D35"/>
          <w:sz w:val="20"/>
          <w:szCs w:val="20"/>
        </w:rPr>
        <w:t xml:space="preserve">Excluded</w:t>
      </w:r>
    </w:p>
    <w:p>
      <w:pPr>
        <w:pStyle w:val="ListParagraph"/>
        <w:numPr>
          <w:ilvl w:val="0"/>
          <w:numId w:val="2"/>
        </w:numPr>
        <w:spacing w:after="3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Candidate sourcing, scheduling, reference checks, offer negotiation and applicant tracking.</w:t>
      </w:r>
    </w:p>
    <w:p>
      <w:pPr>
        <w:pStyle w:val="ListParagraph"/>
        <w:numPr>
          <w:ilvl w:val="0"/>
          <w:numId w:val="2"/>
        </w:numPr>
        <w:spacing w:after="3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Psychometric, personality, work-style, culture or fit assessment.</w:t>
      </w:r>
    </w:p>
    <w:p>
      <w:pPr>
        <w:pStyle w:val="ListParagraph"/>
        <w:numPr>
          <w:ilvl w:val="0"/>
          <w:numId w:val="2"/>
        </w:numPr>
        <w:spacing w:after="3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Automated scoring, ranking, labels, hidden sorting, or a model-generated recommendation.</w:t>
      </w:r>
    </w:p>
    <w:p>
      <w:pPr>
        <w:pStyle w:val="ListParagraph"/>
        <w:numPr>
          <w:ilvl w:val="0"/>
          <w:numId w:val="2"/>
        </w:numPr>
        <w:spacing w:after="3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The hiring decision itself.</w:t>
      </w:r>
    </w:p>
    <w:p>
      <w:pPr>
        <w:keepNext/>
        <w:spacing w:after="30" w:before="200" w:line="300" w:lineRule="auto"/>
      </w:pPr>
      <w:r>
        <w:rPr>
          <w:rFonts w:ascii="Plus Jakarta Sans" w:cs="Plus Jakarta Sans" w:eastAsia="Plus Jakarta Sans" w:hAnsi="Plus Jakarta Sans"/>
          <w:b/>
          <w:bCs/>
          <w:color w:val="265147"/>
          <w:spacing w:val="30"/>
          <w:sz w:val="15"/>
          <w:szCs w:val="15"/>
        </w:rPr>
        <w:t xml:space="preserve">§ 02</w:t>
      </w:r>
    </w:p>
    <w:p>
      <w:pPr>
        <w:pStyle w:val="Heading1"/>
        <w:keepNext/>
        <w:pBdr>
          <w:bottom w:val="single" w:color="D5E3DE" w:sz="4" w:space="6"/>
        </w:pBdr>
        <w:spacing w:after="100" w:before="0"/>
      </w:pPr>
      <w:r>
        <w:rPr>
          <w:rFonts w:ascii="Lora" w:cs="Lora" w:eastAsia="Lora" w:hAnsi="Lora"/>
          <w:color w:val="0E211B"/>
          <w:sz w:val="30"/>
          <w:szCs w:val="30"/>
        </w:rPr>
        <w:t xml:space="preserve">Method</w:t>
      </w:r>
    </w:p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500"/>
        <w:gridCol w:w="3900"/>
        <w:gridCol w:w="3784"/>
      </w:tblGrid>
      <w:tr>
        <w:trPr>
          <w:cantSplit/>
          <w:tblHeader/>
        </w:trPr>
        <w:tc>
          <w:tcPr>
            <w:tcW w:type="dxa" w:w="15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Step</w:t>
            </w:r>
          </w:p>
        </w:tc>
        <w:tc>
          <w:tcPr>
            <w:tcW w:type="dxa" w:w="39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Panel action</w:t>
            </w:r>
          </w:p>
        </w:tc>
        <w:tc>
          <w:tcPr>
            <w:tcW w:type="dxa" w:w="3784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Control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Read</w:t>
            </w:r>
          </w:p>
        </w:tc>
        <w:tc>
          <w:tcPr>
            <w:tcW w:type="dxa" w:w="3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Agree the role brief and rubric.</w:t>
            </w:r>
          </w:p>
        </w:tc>
        <w:tc>
          <w:tcPr>
            <w:tcW w:type="dxa" w:w="37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Lock before any finalist is scored.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Score</w:t>
            </w:r>
          </w:p>
        </w:tc>
        <w:tc>
          <w:tcPr>
            <w:tcW w:type="dxa" w:w="3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Each panelist scores every finalist independently.</w:t>
            </w:r>
          </w:p>
        </w:tc>
        <w:tc>
          <w:tcPr>
            <w:tcW w:type="dxa" w:w="37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Scores are blind and immutable after submission.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Compare</w:t>
            </w:r>
          </w:p>
        </w:tc>
        <w:tc>
          <w:tcPr>
            <w:tcW w:type="dxa" w:w="3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Review the score spread, the evidence and the disagreement.</w:t>
            </w:r>
          </w:p>
        </w:tc>
        <w:tc>
          <w:tcPr>
            <w:tcW w:type="dxa" w:w="37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No totals are shown before calibration.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Calibrate</w:t>
            </w:r>
          </w:p>
        </w:tc>
        <w:tc>
          <w:tcPr>
            <w:tcW w:type="dxa" w:w="3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Discuss every flagged cell and record the resolution.</w:t>
            </w:r>
          </w:p>
        </w:tc>
        <w:tc>
          <w:tcPr>
            <w:tcW w:type="dxa" w:w="37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Pre-calibration scores remain in the record.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Verdict</w:t>
            </w:r>
          </w:p>
        </w:tc>
        <w:tc>
          <w:tcPr>
            <w:tcW w:type="dxa" w:w="3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Review the written advice and the named risks.</w:t>
            </w:r>
          </w:p>
        </w:tc>
        <w:tc>
          <w:tcPr>
            <w:tcW w:type="dxa" w:w="37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Weighted results are advisory and shown in entry order.</w:t>
            </w:r>
          </w:p>
        </w:tc>
      </w:tr>
    </w:tbl>
    <w:p>
      <w:pPr>
        <w:spacing w:after="0" w:before="0" w:line="16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/>
      </w:r>
    </w:p>
    <w:p>
      <w:pPr>
        <w:keepNext/>
        <w:spacing w:after="30" w:before="200" w:line="300" w:lineRule="auto"/>
      </w:pPr>
      <w:r>
        <w:rPr>
          <w:rFonts w:ascii="Plus Jakarta Sans" w:cs="Plus Jakarta Sans" w:eastAsia="Plus Jakarta Sans" w:hAnsi="Plus Jakarta Sans"/>
          <w:b/>
          <w:bCs/>
          <w:color w:val="265147"/>
          <w:spacing w:val="30"/>
          <w:sz w:val="15"/>
          <w:szCs w:val="15"/>
        </w:rPr>
        <w:t xml:space="preserve">§ 03</w:t>
      </w:r>
    </w:p>
    <w:p>
      <w:pPr>
        <w:pStyle w:val="Heading1"/>
        <w:keepNext/>
        <w:pBdr>
          <w:bottom w:val="single" w:color="D5E3DE" w:sz="4" w:space="6"/>
        </w:pBdr>
        <w:spacing w:after="100" w:before="0"/>
      </w:pPr>
      <w:r>
        <w:rPr>
          <w:rFonts w:ascii="Lora" w:cs="Lora" w:eastAsia="Lora" w:hAnsi="Lora"/>
          <w:color w:val="0E211B"/>
          <w:sz w:val="30"/>
          <w:szCs w:val="30"/>
        </w:rPr>
        <w:t xml:space="preserve">Data and candidate safeguards</w:t>
      </w:r>
    </w:p>
    <w:p>
      <w:pPr>
        <w:pStyle w:val="ListParagraph"/>
        <w:numPr>
          <w:ilvl w:val="0"/>
          <w:numId w:val="2"/>
        </w:numPr>
        <w:spacing w:after="3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Record that each candidate received the notice before their information is used.</w:t>
      </w:r>
    </w:p>
    <w:p>
      <w:pPr>
        <w:pStyle w:val="ListParagraph"/>
        <w:numPr>
          <w:ilvl w:val="0"/>
          <w:numId w:val="2"/>
        </w:numPr>
        <w:spacing w:after="3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Record reasonable adjustments without recording their reason in the rubric, scores or memo.</w:t>
      </w:r>
    </w:p>
    <w:p>
      <w:pPr>
        <w:pStyle w:val="ListParagraph"/>
        <w:numPr>
          <w:ilvl w:val="0"/>
          <w:numId w:val="2"/>
        </w:numPr>
        <w:spacing w:after="3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Collect only job-related evidence, and use candidate references in working views.</w:t>
      </w:r>
    </w:p>
    <w:p>
      <w:pPr>
        <w:pStyle w:val="ListParagraph"/>
        <w:numPr>
          <w:ilvl w:val="0"/>
          <w:numId w:val="2"/>
        </w:numPr>
        <w:spacing w:after="3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Purge personal data 90 days after the memo is issued, unless the engagement letter sets another lawful schedule.</w:t>
      </w:r>
    </w:p>
    <w:p>
      <w:pPr>
        <w:pStyle w:val="ListParagraph"/>
        <w:numPr>
          <w:ilvl w:val="0"/>
          <w:numId w:val="2"/>
        </w:numPr>
        <w:spacing w:after="3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After purge, keep only initials or non-identifying references with the outcome data.</w:t>
      </w:r>
    </w:p>
    <w:p>
      <w:pPr>
        <w:pStyle w:val="ListParagraph"/>
        <w:numPr>
          <w:ilvl w:val="0"/>
          <w:numId w:val="2"/>
        </w:numPr>
        <w:spacing w:after="3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Make no performance-prediction, legal-compliance, bias-elimination or scientific-validity claim.</w:t>
      </w:r>
    </w:p>
    <w:p>
      <w:pPr>
        <w:keepNext/>
        <w:spacing w:after="30" w:before="200" w:line="300" w:lineRule="auto"/>
      </w:pPr>
      <w:r>
        <w:rPr>
          <w:rFonts w:ascii="Plus Jakarta Sans" w:cs="Plus Jakarta Sans" w:eastAsia="Plus Jakarta Sans" w:hAnsi="Plus Jakarta Sans"/>
          <w:b/>
          <w:bCs/>
          <w:color w:val="265147"/>
          <w:spacing w:val="30"/>
          <w:sz w:val="15"/>
          <w:szCs w:val="15"/>
        </w:rPr>
        <w:t xml:space="preserve">§ 04</w:t>
      </w:r>
    </w:p>
    <w:p>
      <w:pPr>
        <w:pStyle w:val="Heading1"/>
        <w:keepNext/>
        <w:pBdr>
          <w:bottom w:val="single" w:color="D5E3DE" w:sz="4" w:space="6"/>
        </w:pBdr>
        <w:spacing w:after="100" w:before="0"/>
      </w:pPr>
      <w:r>
        <w:rPr>
          <w:rFonts w:ascii="Lora" w:cs="Lora" w:eastAsia="Lora" w:hAnsi="Lora"/>
          <w:color w:val="0E211B"/>
          <w:sz w:val="30"/>
          <w:szCs w:val="30"/>
        </w:rPr>
        <w:t xml:space="preserve">Delivery sequence</w:t>
      </w:r>
    </w:p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900"/>
        <w:gridCol w:w="3000"/>
        <w:gridCol w:w="4284"/>
      </w:tblGrid>
      <w:tr>
        <w:trPr>
          <w:cantSplit/>
          <w:tblHeader/>
        </w:trPr>
        <w:tc>
          <w:tcPr>
            <w:tcW w:type="dxa" w:w="19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Milestone</w:t>
            </w:r>
          </w:p>
        </w:tc>
        <w:tc>
          <w:tcPr>
            <w:tcW w:type="dxa" w:w="30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Required output</w:t>
            </w:r>
          </w:p>
        </w:tc>
        <w:tc>
          <w:tcPr>
            <w:tcW w:type="dxa" w:w="4284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Gate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Intake</w:t>
            </w:r>
          </w:p>
        </w:tc>
        <w:tc>
          <w:tcPr>
            <w:tcW w:type="dxa" w:w="3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Role brief and draft rubric</w:t>
            </w:r>
          </w:p>
        </w:tc>
        <w:tc>
          <w:tcPr>
            <w:tcW w:type="dxa" w:w="42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Outcomes and evidence sources are clear.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Lock</w:t>
            </w:r>
          </w:p>
        </w:tc>
        <w:tc>
          <w:tcPr>
            <w:tcW w:type="dxa" w:w="3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Signed rubric version</w:t>
            </w:r>
          </w:p>
        </w:tc>
        <w:tc>
          <w:tcPr>
            <w:tcW w:type="dxa" w:w="42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Weights total 100; four to nine criteria; anchors complete.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Panel scoring</w:t>
            </w:r>
          </w:p>
        </w:tc>
        <w:tc>
          <w:tcPr>
            <w:tcW w:type="dxa" w:w="3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Independent score records</w:t>
            </w:r>
          </w:p>
        </w:tc>
        <w:tc>
          <w:tcPr>
            <w:tcW w:type="dxa" w:w="42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Every score has an evidence note; 0 means no evidence.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Reveal</w:t>
            </w:r>
          </w:p>
        </w:tc>
        <w:tc>
          <w:tcPr>
            <w:tcW w:type="dxa" w:w="3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Divergence view</w:t>
            </w:r>
          </w:p>
        </w:tc>
        <w:tc>
          <w:tcPr>
            <w:tcW w:type="dxa" w:w="42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All panelists submitted, or the scoring deadline has passed.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Calibration</w:t>
            </w:r>
          </w:p>
        </w:tc>
        <w:tc>
          <w:tcPr>
            <w:tcW w:type="dxa" w:w="3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Resolution log</w:t>
            </w:r>
          </w:p>
        </w:tc>
        <w:tc>
          <w:tcPr>
            <w:tcW w:type="dxa" w:w="42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Every flagged cell discussed.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Issue and follow-up</w:t>
            </w:r>
          </w:p>
        </w:tc>
        <w:tc>
          <w:tcPr>
            <w:tcW w:type="dxa" w:w="3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Verdict memo and outcome register</w:t>
            </w:r>
          </w:p>
        </w:tc>
        <w:tc>
          <w:tcPr>
            <w:tcW w:type="dxa" w:w="42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Use statement present; 90, 180 and 365-day checks scheduled.</w:t>
            </w:r>
          </w:p>
        </w:tc>
      </w:tr>
    </w:tbl>
    <w:p>
      <w:pPr>
        <w:spacing w:after="0" w:before="0" w:line="16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/>
      </w:r>
    </w:p>
    <w:p>
      <w:pPr>
        <w:keepNext/>
        <w:spacing w:after="30" w:before="200" w:line="300" w:lineRule="auto"/>
      </w:pPr>
      <w:r>
        <w:rPr>
          <w:rFonts w:ascii="Plus Jakarta Sans" w:cs="Plus Jakarta Sans" w:eastAsia="Plus Jakarta Sans" w:hAnsi="Plus Jakarta Sans"/>
          <w:b/>
          <w:bCs/>
          <w:color w:val="265147"/>
          <w:spacing w:val="30"/>
          <w:sz w:val="15"/>
          <w:szCs w:val="15"/>
        </w:rPr>
        <w:t xml:space="preserve">§ 05</w:t>
      </w:r>
    </w:p>
    <w:p>
      <w:pPr>
        <w:pStyle w:val="Heading1"/>
        <w:keepNext/>
        <w:pBdr>
          <w:bottom w:val="single" w:color="D5E3DE" w:sz="4" w:space="6"/>
        </w:pBdr>
        <w:spacing w:after="100" w:before="0"/>
      </w:pPr>
      <w:r>
        <w:rPr>
          <w:rFonts w:ascii="Lora" w:cs="Lora" w:eastAsia="Lora" w:hAnsi="Lora"/>
          <w:color w:val="0E211B"/>
          <w:sz w:val="30"/>
          <w:szCs w:val="30"/>
        </w:rPr>
        <w:t xml:space="preserve">Commercial discipline</w:t>
      </w:r>
    </w:p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700"/>
        <w:gridCol w:w="6484"/>
      </w:tblGrid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Offer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Sell one complete Verdict. Calibration is not an optional add-on.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Commercial terms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USD 5,500 fixed; 50% on criteria lock, 50% on delivery. Currency and confidentiality terms are confirmed in the signed engagement letter.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Scope change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Additional finalists, a second role, or a rubric change after lock is a written variation.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Claims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Do not promise that disagreement will be resolved, that bias is eliminated, or that the method predicts performance.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Decision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Name the human recommendation owner, and repeat that the employer decides.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Evidence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Do not cite a number without its source and its limits.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Product boundary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No app, portal, ranking feature or model-generated recommendation is required to deliver the service.</w:t>
            </w:r>
          </w:p>
        </w:tc>
      </w:tr>
    </w:tbl>
    <w:p>
      <w:pPr>
        <w:spacing w:after="0" w:before="0" w:line="16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/>
      </w:r>
    </w:p>
    <w:p>
      <w:pPr>
        <w:keepNext/>
        <w:pBdr>
          <w:left w:val="single" w:color="265147" w:sz="24" w:space="10"/>
        </w:pBdr>
        <w:shd w:fill="F0F5F3" w:color="auto" w:val="clear"/>
        <w:spacing w:after="0" w:before="160" w:line="280" w:lineRule="auto"/>
        <w:ind w:left="200" w:right="120"/>
      </w:pPr>
      <w:r>
        <w:rPr>
          <w:rFonts w:ascii="Plus Jakarta Sans" w:cs="Plus Jakarta Sans" w:eastAsia="Plus Jakarta Sans" w:hAnsi="Plus Jakarta Sans"/>
          <w:b/>
          <w:bCs/>
          <w:caps/>
          <w:color w:val="265147"/>
          <w:spacing w:val="30"/>
          <w:sz w:val="15"/>
          <w:szCs w:val="15"/>
        </w:rPr>
        <w:t xml:space="preserve">The promise</w:t>
      </w:r>
    </w:p>
    <w:p>
      <w:pPr>
        <w:pBdr>
          <w:left w:val="single" w:color="265147" w:sz="24" w:space="10"/>
        </w:pBdr>
        <w:shd w:fill="F0F5F3" w:color="auto" w:val="clear"/>
        <w:spacing w:after="200" w:before="0" w:line="290" w:lineRule="auto"/>
        <w:ind w:left="200" w:right="120"/>
      </w:pPr>
      <w:r>
        <w:rPr>
          <w:rFonts w:ascii="Plus Jakarta Sans" w:cs="Plus Jakarta Sans" w:eastAsia="Plus Jakarta Sans" w:hAnsi="Plus Jakarta Sans"/>
          <w:color w:val="0E211B"/>
          <w:sz w:val="19"/>
          <w:szCs w:val="19"/>
        </w:rPr>
        <w:t xml:space="preserve">Calibre promises a disciplined record of where the panel agrees, where it differs, what evidence bears on the difference, what remains uncertain, and who owns the final decision.</w:t>
      </w:r>
    </w:p>
    <w:p>
      <w:pPr>
        <w:keepNext/>
        <w:pBdr>
          <w:left w:val="single" w:color="265147" w:sz="24" w:space="10"/>
        </w:pBdr>
        <w:shd w:fill="D5E3DE" w:color="auto" w:val="clear"/>
        <w:spacing w:after="0" w:before="160" w:line="280" w:lineRule="auto"/>
        <w:ind w:left="200" w:right="120"/>
      </w:pPr>
      <w:r>
        <w:rPr>
          <w:rFonts w:ascii="Plus Jakarta Sans" w:cs="Plus Jakarta Sans" w:eastAsia="Plus Jakarta Sans" w:hAnsi="Plus Jakarta Sans"/>
          <w:b/>
          <w:bCs/>
          <w:caps/>
          <w:color w:val="265147"/>
          <w:spacing w:val="30"/>
          <w:sz w:val="15"/>
          <w:szCs w:val="15"/>
        </w:rPr>
        <w:t xml:space="preserve">Use statement</w:t>
      </w:r>
    </w:p>
    <w:p>
      <w:pPr>
        <w:pBdr>
          <w:left w:val="single" w:color="265147" w:sz="24" w:space="10"/>
        </w:pBdr>
        <w:shd w:fill="D5E3DE" w:color="auto" w:val="clear"/>
        <w:spacing w:after="200" w:before="0" w:line="290" w:lineRule="auto"/>
        <w:ind w:left="200" w:right="120"/>
      </w:pPr>
      <w:r>
        <w:rPr>
          <w:rFonts w:ascii="Plus Jakarta Sans" w:cs="Plus Jakarta Sans" w:eastAsia="Plus Jakarta Sans" w:hAnsi="Plus Jakarta Sans"/>
          <w:color w:val="0E211B"/>
          <w:sz w:val="19"/>
          <w:szCs w:val="19"/>
        </w:rPr>
        <w:t xml:space="preserve">Structured hiring advisory for finance roles. Not a psychometric assessment. Does not predict performance. The decision, and its consequences, rest with the employer.</w:t>
      </w:r>
    </w:p>
    <w:sectPr>
      <w:footerReference w:type="default" r:id="rId6"/>
      <w:pgSz w:w="11906" w:h="16838" w:orient="portrait"/>
      <w:pgMar w:top="1361" w:right="1361" w:bottom="1361" w:left="1361" w:header="708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5E3DE" w:sz="4" w:space="6"/>
      </w:pBdr>
      <w:spacing w:after="0" w:before="0" w:line="300" w:lineRule="auto"/>
    </w:pPr>
    <w:r>
      <w:rPr>
        <w:rFonts w:ascii="Plus Jakarta Sans" w:cs="Plus Jakarta Sans" w:eastAsia="Plus Jakarta Sans" w:hAnsi="Plus Jakarta Sans"/>
        <w:b/>
        <w:bCs/>
        <w:color w:val="1C3D35"/>
        <w:sz w:val="15"/>
        <w:szCs w:val="15"/>
      </w:rPr>
      <w:t xml:space="preserve">Calibre by Daftar</w:t>
    </w:r>
    <w:r>
      <w:rPr>
        <w:rFonts w:ascii="Plus Jakarta Sans" w:cs="Plus Jakarta Sans" w:eastAsia="Plus Jakarta Sans" w:hAnsi="Plus Jakarta Sans"/>
        <w:color w:val="596B66"/>
        <w:sz w:val="15"/>
        <w:szCs w:val="15"/>
      </w:rPr>
      <w:t xml:space="preserve">  ·  A product of Daftar Advisory · Amman  ·  Service definition  ·  </w:t>
    </w:r>
    <w:r>
      <w:rPr>
        <w:rFonts w:ascii="Plus Jakarta Sans" w:cs="Plus Jakarta Sans" w:eastAsia="Plus Jakarta Sans" w:hAnsi="Plus Jakarta Sans"/>
        <w:color w:val="596B66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65147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lus Jakarta Sans" w:cs="Plus Jakarta Sans" w:eastAsia="Plus Jakarta Sans" w:hAnsi="Plus Jakarta Sans"/>
        <w:color w:val="394740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Lora" w:cs="Lora" w:eastAsia="Lora" w:hAnsi="Lora"/>
      <w:color w:val="0E211B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Plus Jakarta Sans" w:cs="Plus Jakarta Sans" w:eastAsia="Plus Jakarta Sans" w:hAnsi="Plus Jakarta Sans"/>
      <w:b/>
      <w:bCs/>
      <w:color w:val="1C3D35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 definition</dc:title>
  <dc:creator>Calibre by Daftar</dc:creator>
  <cp:lastModifiedBy>Un-named</cp:lastModifiedBy>
  <cp:revision>1</cp:revision>
  <dcterms:created xsi:type="dcterms:W3CDTF">2026-10-01T19:49:48.509Z</dcterms:created>
  <dcterms:modified xsi:type="dcterms:W3CDTF">2026-10-01T19:49:48.509Z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