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 w:line="300" w:lineRule="auto"/>
      </w:pPr>
      <w:r>
        <w:rPr>
          <w:rFonts w:ascii="Lora" w:cs="Lora" w:eastAsia="Lora" w:hAnsi="Lora"/>
          <w:i/>
          <w:iCs/>
          <w:color w:val="0E211B"/>
          <w:sz w:val="34"/>
          <w:szCs w:val="34"/>
        </w:rPr>
        <w:t xml:space="preserve">Calibre</w:t>
      </w:r>
      <w:r>
        <w:rPr>
          <w:rFonts w:ascii="Plus Jakarta Sans" w:cs="Plus Jakarta Sans" w:eastAsia="Plus Jakarta Sans" w:hAnsi="Plus Jakarta Sans"/>
          <w:b/>
          <w:bCs/>
          <w:color w:val="596B66"/>
          <w:sz w:val="17"/>
          <w:szCs w:val="17"/>
        </w:rPr>
        <w:t xml:space="preserve">   by Daftar</w:t>
      </w:r>
    </w:p>
    <w:p>
      <w:pPr>
        <w:pBdr>
          <w:left w:val="single" w:color="265147" w:sz="18" w:space="8"/>
        </w:pBdr>
        <w:spacing w:after="220" w:before="0" w:line="300" w:lineRule="auto"/>
        <w:ind w:left="17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Verdict memo · Template</w:t>
      </w:r>
    </w:p>
    <w:p>
      <w:pPr>
        <w:spacing w:after="180" w:before="0" w:line="276" w:lineRule="auto"/>
      </w:pPr>
      <w:r>
        <w:rPr>
          <w:rFonts w:ascii="Lora" w:cs="Lora" w:eastAsia="Lora" w:hAnsi="Lora"/>
          <w:color w:val="0E211B"/>
          <w:sz w:val="46"/>
          <w:szCs w:val="46"/>
        </w:rPr>
        <w:t xml:space="preserve">Calibre Verdict: [Role] · [Client]</w:t>
      </w:r>
    </w:p>
    <w:p>
      <w:pPr>
        <w:keepNext/>
        <w:pBdr>
          <w:left w:val="single" w:color="596B66" w:sz="24" w:space="10"/>
        </w:pBdr>
        <w:shd w:fill="F6F7F8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596B66"/>
          <w:spacing w:val="30"/>
          <w:sz w:val="15"/>
          <w:szCs w:val="15"/>
        </w:rPr>
        <w:t xml:space="preserve">Template</w:t>
      </w:r>
    </w:p>
    <w:p>
      <w:pPr>
        <w:pBdr>
          <w:left w:val="single" w:color="596B66" w:sz="24" w:space="10"/>
        </w:pBdr>
        <w:shd w:fill="F6F7F8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Replace every bracketed placeholder and delete the guidance notes before issuing. The sections follow product/METHOD.md §7, in order. Candidates always appear in reference order, K1 first, never sorted by score.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Client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[Client entity]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Role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[Role title]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Hiring lead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[Name, title]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[P1 to P5 names]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Finalists reviewed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[K1 to K_]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Rubric locked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[Version n, date and time]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Scoring closed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Calibration session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Verdict issued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Memo version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[n]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[Calibre lead]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pBdr>
          <w:left w:val="single" w:color="265147" w:sz="24" w:space="10"/>
        </w:pBdr>
        <w:shd w:fill="D5E3DE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Use statement</w:t>
      </w:r>
    </w:p>
    <w:p>
      <w:pPr>
        <w:pBdr>
          <w:left w:val="single" w:color="265147" w:sz="24" w:space="10"/>
        </w:pBdr>
        <w:shd w:fill="D5E3DE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1C3D35"/>
          <w:sz w:val="20"/>
          <w:szCs w:val="20"/>
        </w:rPr>
        <w:t xml:space="preserve">Purpose and limits of this Verdict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This Verdict is an advisory structuring of the evidence supplied by the client. It is not a hiring decision, an assessment of the candidate as a person, or a prediction of future performance. Every conclusion is stated against a role criterion that was agreed and locked before any candidate evidence was reviewed. No psychometric instrument, personality inventory, work-style profile or culture-fit measure has been used, and none of the conclusions rest on inference about protected characteristics. Where the evidence does not support a conclusion, that is recorded as a gap rather than resolved by assumption. The employer retains the hiring decision in full.</w:t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Standing text. It keeps the Verdict advisory rather than determinative, and it is the first thing a challenged client will point to. Reword it only with a considered reason.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01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Decision context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Seat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[Title, reporting line, team size, entity scope, location]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First-year outcomes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[Three to five, from the intake form]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What makes this hire hard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[From the intake form]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Non-negotiables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[List] · Verified for all finalists: [Yes / No, with any exceptions]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[Names. Hiring lead: name]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Dates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[Rubric locked · scoring closed · calibration session]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02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The standard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Rubric version [n], locked [date and time] before any finalist was scored. It was not changed at any point after the first score was submitted.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"/>
        <w:gridCol w:w="2300"/>
        <w:gridCol w:w="1150"/>
        <w:gridCol w:w="900"/>
        <w:gridCol w:w="4134"/>
      </w:tblGrid>
      <w:tr>
        <w:trPr>
          <w:cantSplit/>
          <w:tblHeader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Ref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Must / Pref.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Weight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Anchor 3, the hireable level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C1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Technical accounting and IFRS application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applied the standards material to this entity (e.g. revenue, leases, impairment) in a prior role and can explain one judgement they made and why.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C2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Financial reporting and close ownership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owned a monthly or quarterly close of comparable size and complexity, including the reconciliations and the reporting pack.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C3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Controls, compliance and audit readiness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run an audit as the entity-side owner: PBC list, sample support, auditor queries closed within the timetable.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C4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Planning, budgeting and forecasting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built and maintained a budget or rolling forecast for the entity, and can explain the two or three assumptions that actually drive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C5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Cash, treasury and working capital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Preferred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owned a cash forecast and a payment run, and understands the entity's working-capital cycle.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C6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Systems, data and reporting tooling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Is fluent in the entity's ERP class and can build the reporting that sits on top of it without help.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C7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Team leadership and delegation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Preferred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supervised a team of comparable size, including review of their work and management of the close timetable across them.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C8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Stakeholder communication and reporting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Presents regularly to management or the board and can translate a variance into a business cause without prompting.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C9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Jurisdictional and regulatory exposure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Preferred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operated under the entity's regime (e.g. UAE corporate tax, VAT, ZATCA, free-zone rules) and knows the filing calendar that applies.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Paste the engagement's locked rubric, not this default. If a criterion was amended before the first score, show the amended wording and add: Amendment [n] ([date], [who]): [what]. Reason: [why].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03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The finalists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00"/>
        <w:gridCol w:w="1300"/>
        <w:gridCol w:w="4884"/>
        <w:gridCol w:w="2200"/>
      </w:tblGrid>
      <w:tr>
        <w:trPr>
          <w:cantSplit/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Ref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Initials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Evidence sources used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Candidate notice sent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K1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K2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K3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K4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not supplied.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was requested and not received. This list is the origin of most of the risks in section 07, and it protects the Verdict where a conclusion later proves wrong for a reason the evidence could not have shown.]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Independence.  </w:t>
      </w: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Panelists scored independently and did not discuss finalists between interview and submission. Attested by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[hiring lead]</w:t>
      </w: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04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Scores before calibration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The full matrix from sheet 02 of the working file. A score of 0 means no evidence was supplied; it is excluded from the spread and never read as a low score.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784"/>
        <w:gridCol w:w="900"/>
        <w:gridCol w:w="900"/>
        <w:gridCol w:w="900"/>
        <w:gridCol w:w="900"/>
        <w:gridCol w:w="900"/>
        <w:gridCol w:w="900"/>
      </w:tblGrid>
      <w:tr>
        <w:trPr>
          <w:cantSplit/>
          <w:tblHeader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K1 · Criterion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P1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P2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P3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P4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P5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Spread</w:t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C1  Technical accounting and IFRS application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C2  Financial reporting and close ownership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C3  Controls, compliance and audit readiness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C4  Planning, budgeting and forecasting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C5  Cash, treasury and working capital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C6  Systems, data and reporting tooling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C7  Team leadership and delegation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C8  Stakeholder communication and reporting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C9  Jurisdictional and regulatory exposure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Repeat this table for each finalist, in reference order.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05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Where the panel diverged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Every cell with a spread of two points or more, the evidence on each side, and how the panel resolved it. A spread of 2 is a divergence. A spread of 3 or 4 is a contradiction, and each one is named in the prose below.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0"/>
        <w:gridCol w:w="1250"/>
        <w:gridCol w:w="1050"/>
        <w:gridCol w:w="940"/>
        <w:gridCol w:w="2044"/>
        <w:gridCol w:w="1000"/>
        <w:gridCol w:w="1900"/>
      </w:tblGrid>
      <w:tr>
        <w:trPr>
          <w:cantSplit/>
          <w:tblHeader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Finalist</w:t>
            </w:r>
          </w:p>
        </w:tc>
        <w:tc>
          <w:tcPr>
            <w:tcW w:type="dxa" w:w="125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105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Scores</w:t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Spread</w:t>
            </w:r>
          </w:p>
        </w:tc>
        <w:tc>
          <w:tcPr>
            <w:tcW w:type="dxa" w:w="204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Evidence on each side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Agreed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Reason recorded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[K_]</w:t>
            </w:r>
          </w:p>
        </w:tc>
        <w:tc>
          <w:tcPr>
            <w:tcW w:type="dxa" w:w="12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[C_]</w:t>
            </w:r>
          </w:p>
        </w:tc>
        <w:tc>
          <w:tcPr>
            <w:tcW w:type="dxa" w:w="10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[e.g. 2, 4, 4]</w:t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[2]</w:t>
            </w:r>
          </w:p>
        </w:tc>
        <w:tc>
          <w:tcPr>
            <w:tcW w:type="dxa" w:w="204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[Evidence notes, side by side]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[3]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[The evidence that settled it]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Contradictions.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[Name each spread of 3 or 4: whether the disagreement was about the evidence, the meaning of the criterion, or its weighting, and how it was resolved.]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Unresolved.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[Any flagged cell the panel could not resolve. It takes the panel mean and is carried into section 07 as a risk.]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06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Scores after calibration and the weighted result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"/>
        <w:gridCol w:w="3884"/>
        <w:gridCol w:w="900"/>
        <w:gridCol w:w="925"/>
        <w:gridCol w:w="925"/>
        <w:gridCol w:w="925"/>
        <w:gridCol w:w="925"/>
      </w:tblGrid>
      <w:tr>
        <w:trPr>
          <w:cantSplit/>
          <w:tblHeader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Ref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Weight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K1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K2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K3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C1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Technical accounting and IFRS application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C2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Financial reporting and close ownership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C3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Controls, compliance and audit readiness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C4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Planning, budgeting and forecasting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C5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Cash, treasury and working capital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C6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Systems, data and reporting tooling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C7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Team leadership and delegation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C8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Stakeholder communication and reporting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C9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Jurisdictional and regulatory exposure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/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Weighted result (advisory)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Shown in entry order. Never sorted, coloured or labelled. The weighted result runs from 0 to 100 and is an input to the recommendation, not the recommendation. A criterion with no evidence is shown as "no evidence" and the result is footnoted as incomplete.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1C3D35"/>
          <w:sz w:val="20"/>
          <w:szCs w:val="20"/>
        </w:rPr>
        <w:t xml:space="preserve">Findings by finalist</w:t>
      </w:r>
    </w:p>
    <w:p>
      <w:pPr>
        <w:keepNext/>
        <w:spacing w:after="80" w:before="160" w:line="300" w:lineRule="auto"/>
      </w:pPr>
      <w:r>
        <w:rPr>
          <w:rFonts w:ascii="Lora" w:cs="Lora" w:eastAsia="Lora" w:hAnsi="Lora"/>
          <w:color w:val="0E211B"/>
          <w:sz w:val="23"/>
          <w:szCs w:val="23"/>
        </w:rPr>
        <w:t xml:space="preserve">K1  ·  [initials]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Strengths against the role requirements.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[Two or three findings, each naming the criterion and the evidence. e.g. Meets C2 at anchor 5: owned the close for a 40-entity group, evidenced in the CV and confirmed in the second interview note of 12 May.]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Material gaps and uncertainties.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the evidence does not support, and what would resolve it. A demonstrated weakness and an absence of evidence are different findings and carry different weight.]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basis.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[Where conclusions rest on documented evidence, on interview assertion alone, or on inference. Anything resting on inference is named.]</w:t>
      </w:r>
    </w:p>
    <w:p>
      <w:pPr>
        <w:keepNext/>
        <w:spacing w:after="80" w:before="160" w:line="300" w:lineRule="auto"/>
      </w:pPr>
      <w:r>
        <w:rPr>
          <w:rFonts w:ascii="Lora" w:cs="Lora" w:eastAsia="Lora" w:hAnsi="Lora"/>
          <w:color w:val="0E211B"/>
          <w:sz w:val="23"/>
          <w:szCs w:val="23"/>
        </w:rPr>
        <w:t xml:space="preserve">K2  ·  [initials]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Strengths against the role requirements.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[Two or three findings, each naming the criterion and the evidence. e.g. Meets C2 at anchor 5: owned the close for a 40-entity group, evidenced in the CV and confirmed in the second interview note of 12 May.]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Material gaps and uncertainties.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the evidence does not support, and what would resolve it. A demonstrated weakness and an absence of evidence are different findings and carry different weight.]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basis.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[Where conclusions rest on documented evidence, on interview assertion alone, or on inference. Anything resting on inference is named.]</w:t>
      </w:r>
    </w:p>
    <w:p>
      <w:pPr>
        <w:keepNext/>
        <w:spacing w:after="80" w:before="160" w:line="300" w:lineRule="auto"/>
      </w:pPr>
      <w:r>
        <w:rPr>
          <w:rFonts w:ascii="Lora" w:cs="Lora" w:eastAsia="Lora" w:hAnsi="Lora"/>
          <w:color w:val="0E211B"/>
          <w:sz w:val="23"/>
          <w:szCs w:val="23"/>
        </w:rPr>
        <w:t xml:space="preserve">K3  ·  [initials]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Strengths against the role requirements.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[Two or three findings, each naming the criterion and the evidence. e.g. Meets C2 at anchor 5: owned the close for a 40-entity group, evidenced in the CV and confirmed in the second interview note of 12 May.]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Material gaps and uncertainties.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the evidence does not support, and what would resolve it. A demonstrated weakness and an absence of evidence are different findings and carry different weight.]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basis.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[Where conclusions rest on documented evidence, on interview assertion alone, or on inference. Anything resting on inference is named.]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07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[Criteria on which the finalist with the highest weighted result scored 2 or below.]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[Flagged cells left unresolved after calibration.]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[Absent panelists, and whose scores are therefore missing.]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[Non-negotiables not yet verified.]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Where the evidence is thin.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[Each open uncertainty, tied to a criterion, with the specific step that would resolve it: a targeted question, a work sample, a reference call the client commissions separately.]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What this Verdict cannot tell you.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[Be explicit. This is the product behaving honestly, and clients read it as the most credible part of the memo.]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08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Recommendation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[The recommendation in one sentence, tied to the locked criteria. Then the reasoning in prose: which criteria drove it, which evidence carried the most weight, and what would change it.]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If you proceed with [K_].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[The specific risks, and the mitigation the client can put in place: an onboarding focus, a probation checkpoint, a supporting hire.]</w:t>
      </w:r>
    </w:p>
    <w:p>
      <w:pPr>
        <w:keepNext/>
        <w:pBdr>
          <w:left w:val="single" w:color="265147" w:sz="24" w:space="10"/>
        </w:pBdr>
        <w:shd w:fill="F0F5F3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Departure from the weighted result</w:t>
      </w:r>
    </w:p>
    <w:p>
      <w:pPr>
        <w:pBdr>
          <w:left w:val="single" w:color="265147" w:sz="24" w:space="10"/>
        </w:pBdr>
        <w:shd w:fill="F0F5F3" w:color="auto" w:val="clear"/>
        <w:spacing w:after="6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If this recommendation is not the finalist with the highest weighted result, state the job-related reason here. The Verdict cannot be issued without it.</w:t>
      </w:r>
    </w:p>
    <w:p>
      <w:pPr>
        <w:pBdr>
          <w:left w:val="single" w:color="265147" w:sz="24" w:space="10"/>
        </w:pBdr>
        <w:shd w:fill="F0F5F3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[Reason]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This is advice on the evidence against the agreed criteria. The hiring decision, and responsibility for it, remain with the employer.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09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What happens next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Reference checks outstanding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[List]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Offer conditions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[List]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The hiring lead has agreed to answer four questions at each checkpoint after the start date. The answers are recorded against the role, by initials only.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300"/>
        <w:gridCol w:w="1300"/>
        <w:gridCol w:w="1500"/>
        <w:gridCol w:w="1700"/>
        <w:gridCol w:w="1500"/>
        <w:gridCol w:w="1884"/>
      </w:tblGrid>
      <w:tr>
        <w:trPr>
          <w:cantSplit/>
          <w:tblHeader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Checkpoint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Due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Still in the seat?</w:t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Manager satisfaction (1 to 5)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Early concerns?</w:t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Did the Verdict flag what later mattered?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90 days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180 days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365 days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10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Use statement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sectPr>
      <w:footerReference w:type="default" r:id="rId6"/>
      <w:pgSz w:w="11906" w:h="16838" w:orient="portrait"/>
      <w:pgMar w:top="1361" w:right="1361" w:bottom="1361" w:left="1361" w:header="708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E3DE" w:sz="4" w:space="6"/>
      </w:pBdr>
      <w:spacing w:after="0" w:before="0" w:line="300" w:lineRule="auto"/>
    </w:pPr>
    <w:r>
      <w:rPr>
        <w:rFonts w:ascii="Plus Jakarta Sans" w:cs="Plus Jakarta Sans" w:eastAsia="Plus Jakarta Sans" w:hAnsi="Plus Jakarta Sans"/>
        <w:b/>
        <w:bCs/>
        <w:color w:val="1C3D35"/>
        <w:sz w:val="15"/>
        <w:szCs w:val="15"/>
      </w:rPr>
      <w:t xml:space="preserve">Calibre by Daftar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t xml:space="preserve">  ·  A product of Daftar Advisory · Amman  ·  Verdict memo template  ·  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6514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39474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Lora" w:cs="Lora" w:eastAsia="Lora" w:hAnsi="Lora"/>
      <w:color w:val="0E211B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1C3D3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Verdict memo template</dc:title>
  <dc:creator>Calibre by Daftar</dc:creator>
  <cp:lastModifiedBy>Un-named</cp:lastModifiedBy>
  <cp:revision>1</cp:revision>
  <dcterms:created xsi:type="dcterms:W3CDTF">2026-10-01T19:49:48.447Z</dcterms:created>
  <dcterms:modified xsi:type="dcterms:W3CDTF">2026-10-01T19:49:48.447Z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