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00"/>
      </w:pPr>
      <w:r>
        <w:rPr>
          <w:rFonts w:ascii="Lora" w:cs="Lora" w:eastAsia="Lora" w:hAnsi="Lora"/>
          <w:i/>
          <w:iCs/>
          <w:color w:val="0E211B"/>
          <w:sz w:val="34"/>
          <w:szCs w:val="34"/>
        </w:rPr>
        <w:t xml:space="preserve">Calibre</w:t>
      </w:r>
      <w:r>
        <w:rPr>
          <w:rFonts w:ascii="Plus Jakarta Sans" w:cs="Plus Jakarta Sans" w:eastAsia="Plus Jakarta Sans" w:hAnsi="Plus Jakarta Sans"/>
          <w:b/>
          <w:bCs/>
          <w:color w:val="596B66"/>
          <w:sz w:val="17"/>
          <w:szCs w:val="17"/>
        </w:rPr>
        <w:t xml:space="preserve">   by Daftar</w:t>
      </w:r>
    </w:p>
    <w:p>
      <w:pPr>
        <w:pBdr>
          <w:left w:val="single" w:color="265147" w:sz="18" w:space="8"/>
        </w:pBdr>
        <w:spacing w:after="220" w:before="0" w:line="300"/>
        <w:ind w:left="170"/>
      </w:pPr>
      <w:r>
        <w:rPr>
          <w:rFonts w:ascii="Plus Jakarta Sans" w:cs="Plus Jakarta Sans" w:eastAsia="Plus Jakarta Sans" w:hAnsi="Plus Jakarta Sans"/>
          <w:b/>
          <w:bCs/>
          <w:caps/>
          <w:color w:val="265147"/>
          <w:spacing w:val="30"/>
          <w:sz w:val="15"/>
          <w:szCs w:val="15"/>
        </w:rPr>
        <w:t xml:space="preserve">Private rate card</w:t>
      </w:r>
    </w:p>
    <w:p>
      <w:pPr>
        <w:spacing w:after="180" w:before="0" w:line="276"/>
      </w:pPr>
      <w:r>
        <w:rPr>
          <w:rFonts w:ascii="Lora" w:cs="Lora" w:eastAsia="Lora" w:hAnsi="Lora"/>
          <w:color w:val="0E211B"/>
          <w:sz w:val="46"/>
          <w:szCs w:val="46"/>
        </w:rPr>
        <w:t xml:space="preserve">The Calibre Verdict</w:t>
      </w:r>
    </w:p>
    <w:p>
      <w:pPr>
        <w:spacing w:after="240" w:before="0" w:line="330"/>
      </w:pPr>
      <w:r>
        <w:rPr>
          <w:rFonts w:ascii="Lora" w:cs="Lora" w:eastAsia="Lora" w:hAnsi="Lora"/>
          <w:color w:val="394740"/>
          <w:sz w:val="23"/>
          <w:szCs w:val="23"/>
        </w:rPr>
        <w:t xml:space="preserve">For a finance hire where the shortlist is defined and the panel needs one written, inspectable basis for its decision.</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Fee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USD 5,500 fixed</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Role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One finance role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Finalists</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Up to four included. A fifth or sixth is quoted before start.</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Panel</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Two to five of your decision-makers</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Criteria</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Four to nine, weighted to 100, anchored at 1, 3 and 5</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Delivery</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Ten to twelve business days from criteria lock</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Calibration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One facilitated 75-minute session</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Output</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One written Calibre Verdict and the editable working file</w:t>
            </w:r>
          </w:p>
        </w:tc>
      </w:tr>
    </w:tbl>
    <w:p>
      <w:pPr>
        <w:spacing w:after="0" w:before="0" w:line="160"/>
      </w:pPr>
      <w:r>
        <w:rPr>
          <w:rFonts w:ascii="Plus Jakarta Sans" w:cs="Plus Jakarta Sans" w:eastAsia="Plus Jakarta Sans" w:hAnsi="Plus Jakarta Sans"/>
          <w:color w:val="394740"/>
          <w:sz w:val="19"/>
          <w:szCs w:val="19"/>
        </w:rPr>
        <w:t xml:space="preserve"/>
      </w:r>
    </w:p>
    <w:p>
      <w:pPr>
        <w:keepNext/>
        <w:spacing w:after="30" w:before="200" w:line="300"/>
      </w:pPr>
      <w:r>
        <w:rPr>
          <w:rFonts w:ascii="Plus Jakarta Sans" w:cs="Plus Jakarta Sans" w:eastAsia="Plus Jakarta Sans" w:hAnsi="Plus Jakarta Sans"/>
          <w:b/>
          <w:bCs/>
          <w:color w:val="265147"/>
          <w:spacing w:val="30"/>
          <w:sz w:val="15"/>
          <w:szCs w:val="15"/>
        </w:rPr>
        <w:t xml:space="preserve">§ 01</w:t>
      </w:r>
    </w:p>
    <w:p>
      <w:pPr>
        <w:pStyle w:val="Heading1"/>
        <w:keepNext/>
        <w:pBdr>
          <w:bottom w:val="single" w:color="D5E3DE" w:sz="4" w:space="6"/>
        </w:pBdr>
        <w:spacing w:after="100" w:before="0"/>
      </w:pPr>
      <w:r>
        <w:rPr>
          <w:rFonts w:ascii="Lora" w:cs="Lora" w:eastAsia="Lora" w:hAnsi="Lora"/>
          <w:color w:val="0E211B"/>
          <w:sz w:val="30"/>
          <w:szCs w:val="30"/>
        </w:rPr>
        <w:t xml:space="preserve">What is included</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One 60-minute role-intake call.</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A written role brief: the seat, the first-year outcomes, what makes the hire hard, and verifiable non-negotiables.</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A locked rubric of four to nine criteria, weighted to 100, with anchors at 1, 3 and 5.</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Structured interview questions aligned to the rubric.</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Independent panel scoring, with a written evidence note behind every score.</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A divergence review and one facilitated calibration session.</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A written Verdict recording the evidence, the scores before and after calibration, the remaining risks and a human-written advisory recommendation, with a live readout.</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Outcome follow-up at 90, 180 and 365 days.</w:t>
      </w:r>
    </w:p>
    <w:p>
      <w:pPr>
        <w:keepNext/>
        <w:spacing w:after="30" w:before="200" w:line="300"/>
      </w:pPr>
      <w:r>
        <w:rPr>
          <w:rFonts w:ascii="Plus Jakarta Sans" w:cs="Plus Jakarta Sans" w:eastAsia="Plus Jakarta Sans" w:hAnsi="Plus Jakarta Sans"/>
          <w:b/>
          <w:bCs/>
          <w:color w:val="265147"/>
          <w:spacing w:val="30"/>
          <w:sz w:val="15"/>
          <w:szCs w:val="15"/>
        </w:rPr>
        <w:t xml:space="preserve">§ 02</w:t>
      </w:r>
    </w:p>
    <w:p>
      <w:pPr>
        <w:pStyle w:val="Heading1"/>
        <w:keepNext/>
        <w:pBdr>
          <w:bottom w:val="single" w:color="D5E3DE" w:sz="4" w:space="6"/>
        </w:pBdr>
        <w:spacing w:after="100" w:before="0"/>
      </w:pPr>
      <w:r>
        <w:rPr>
          <w:rFonts w:ascii="Lora" w:cs="Lora" w:eastAsia="Lora" w:hAnsi="Lora"/>
          <w:color w:val="0E211B"/>
          <w:sz w:val="30"/>
          <w:szCs w:val="30"/>
        </w:rPr>
        <w:t xml:space="preserve">How the engagement runs</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1900"/>
        <w:gridCol w:w="7284"/>
      </w:tblGrid>
      <w:tr>
        <w:trPr>
          <w:cantSplit/>
          <w:tblHeader/>
        </w:trPr>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Step</w:t>
            </w:r>
          </w:p>
        </w:tc>
        <w:tc>
          <w:tcPr>
            <w:tcW w:type="dxa" w:w="72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What happens</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1  Intake</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A 60-minute call fixes the role, the context and the draft criteria. This sits before the clock.</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2  Lock</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You sign off the criteria and weightings. The clock starts here. They do not change once scoring begins.</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3  Score</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Each panelist scores every finalist independently against the anchors, with an evidence note behind every score. No one sees another panelist's scores until all are in.</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4  Compare</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Calibre reveals the spread, criterion by criterion. Any gap of two points or more is flagged for calibration.</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5  Calibrate</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One facilitated 75-minute session. Every flagged score is discussed and resolved with a written reason. The original scores stay in the record.</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6  Verdict</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The written Verdict follows within three business days of the session, with a live readout to challenge the reasoning.</w:t>
            </w:r>
          </w:p>
        </w:tc>
      </w:tr>
      <w:tr>
        <w:trPr>
          <w:cantSplit/>
        </w:trPr>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7  Outcomes</w:t>
            </w:r>
          </w:p>
        </w:tc>
        <w:tc>
          <w:tcPr>
            <w:tcW w:type="dxa" w:w="72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Calibre records what you decided and follows up at 90, 180 and 365 days.</w:t>
            </w:r>
          </w:p>
        </w:tc>
      </w:tr>
    </w:tbl>
    <w:p>
      <w:pPr>
        <w:spacing w:after="0" w:before="0" w:line="160"/>
      </w:pPr>
      <w:r>
        <w:rPr>
          <w:rFonts w:ascii="Plus Jakarta Sans" w:cs="Plus Jakarta Sans" w:eastAsia="Plus Jakarta Sans" w:hAnsi="Plus Jakarta Sans"/>
          <w:color w:val="394740"/>
          <w:sz w:val="19"/>
          <w:szCs w:val="19"/>
        </w:rPr>
        <w:t xml:space="preserve"/>
      </w:r>
    </w:p>
    <w:p>
      <w:pPr>
        <w:keepNext/>
        <w:spacing w:after="30" w:before="200" w:line="300"/>
      </w:pPr>
      <w:r>
        <w:rPr>
          <w:rFonts w:ascii="Plus Jakarta Sans" w:cs="Plus Jakarta Sans" w:eastAsia="Plus Jakarta Sans" w:hAnsi="Plus Jakarta Sans"/>
          <w:b/>
          <w:bCs/>
          <w:color w:val="265147"/>
          <w:spacing w:val="30"/>
          <w:sz w:val="15"/>
          <w:szCs w:val="15"/>
        </w:rPr>
        <w:t xml:space="preserve">§ 03</w:t>
      </w:r>
    </w:p>
    <w:p>
      <w:pPr>
        <w:pStyle w:val="Heading1"/>
        <w:keepNext/>
        <w:pBdr>
          <w:bottom w:val="single" w:color="D5E3DE" w:sz="4" w:space="6"/>
        </w:pBdr>
        <w:spacing w:after="100" w:before="0"/>
      </w:pPr>
      <w:r>
        <w:rPr>
          <w:rFonts w:ascii="Lora" w:cs="Lora" w:eastAsia="Lora" w:hAnsi="Lora"/>
          <w:color w:val="0E211B"/>
          <w:sz w:val="30"/>
          <w:szCs w:val="30"/>
        </w:rPr>
        <w:t xml:space="preserve">What is not included</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Candidate sourcing, interview scheduling, reference checks or offer negotiation.</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Psychometric, personality, work-style, culture or fit assessment.</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Automated candidate ranking, or a recommendation generated by a model.</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A candidate portal or any candidate-facing test.</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The hiring decision itself.</w:t>
      </w:r>
    </w:p>
    <w:p>
      <w:pPr>
        <w:keepNext/>
        <w:spacing w:after="30" w:before="200" w:line="300"/>
      </w:pPr>
      <w:r>
        <w:rPr>
          <w:rFonts w:ascii="Plus Jakarta Sans" w:cs="Plus Jakarta Sans" w:eastAsia="Plus Jakarta Sans" w:hAnsi="Plus Jakarta Sans"/>
          <w:b/>
          <w:bCs/>
          <w:color w:val="265147"/>
          <w:spacing w:val="30"/>
          <w:sz w:val="15"/>
          <w:szCs w:val="15"/>
        </w:rPr>
        <w:t xml:space="preserve">§ 04</w:t>
      </w:r>
    </w:p>
    <w:p>
      <w:pPr>
        <w:pStyle w:val="Heading1"/>
        <w:keepNext/>
        <w:pBdr>
          <w:bottom w:val="single" w:color="D5E3DE" w:sz="4" w:space="6"/>
        </w:pBdr>
        <w:spacing w:after="100" w:before="0"/>
      </w:pPr>
      <w:r>
        <w:rPr>
          <w:rFonts w:ascii="Lora" w:cs="Lora" w:eastAsia="Lora" w:hAnsi="Lora"/>
          <w:color w:val="0E211B"/>
          <w:sz w:val="30"/>
          <w:szCs w:val="30"/>
        </w:rPr>
        <w:t xml:space="preserve">Terms</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Fee basis</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Fixed fee. Not hourly, and not contingent on a hire being made.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Payment</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50% on criteria lock. 50% on delivery of the written Verdict.</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Currency</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Invoiced in USD. SAR or AED equivalents on request.</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Valid for</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60 days from issue.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Scope change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Additional finalists, a second role, or a rubric change after lock require a written variation and a new lock, quoted before any work begins.</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Data handling</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Candidate notice, access, retention and deletion follow the engagement letter and the Calibre data record. Candidate personal data is deleted 90 days after the Verdict is issued unless the engagement letter sets another lawful schedule.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Decision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Calibre provides advisory structure. The employer makes the hiring decision and owns its consequences.</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Status</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A private rate card for a direct conversation. Not a published price list, and not an offer capable of acceptance until confirmed in an engagement letter.</w:t>
            </w:r>
          </w:p>
        </w:tc>
      </w:tr>
    </w:tbl>
    <w:p>
      <w:pPr>
        <w:spacing w:after="0" w:before="0" w:line="160"/>
      </w:pPr>
      <w:r>
        <w:rPr>
          <w:rFonts w:ascii="Plus Jakarta Sans" w:cs="Plus Jakarta Sans" w:eastAsia="Plus Jakarta Sans" w:hAnsi="Plus Jakarta Sans"/>
          <w:color w:val="394740"/>
          <w:sz w:val="19"/>
          <w:szCs w:val="19"/>
        </w:rPr>
        <w:t xml:space="preserve"/>
      </w:r>
    </w:p>
    <w:p>
      <w:pPr>
        <w:keepNext/>
        <w:pBdr>
          <w:left w:val="single" w:color="265147" w:sz="24" w:space="10"/>
        </w:pBdr>
        <w:shd w:fill="D5E3DE" w:color="auto" w:val="clear"/>
        <w:spacing w:after="0" w:before="160" w:line="280"/>
        <w:ind w:left="200" w:right="120"/>
      </w:pPr>
      <w:r>
        <w:rPr>
          <w:rFonts w:ascii="Plus Jakarta Sans" w:cs="Plus Jakarta Sans" w:eastAsia="Plus Jakarta Sans" w:hAnsi="Plus Jakarta Sans"/>
          <w:b/>
          <w:bCs/>
          <w:caps/>
          <w:color w:val="265147"/>
          <w:spacing w:val="30"/>
          <w:sz w:val="15"/>
          <w:szCs w:val="15"/>
        </w:rPr>
        <w:t xml:space="preserve">Use statement</w:t>
      </w:r>
    </w:p>
    <w:p>
      <w:pPr>
        <w:pBdr>
          <w:left w:val="single" w:color="265147" w:sz="24" w:space="10"/>
        </w:pBdr>
        <w:shd w:fill="D5E3DE" w:color="auto" w:val="clear"/>
        <w:spacing w:after="200" w:before="0" w:line="290"/>
        <w:ind w:left="200" w:right="120"/>
      </w:pPr>
      <w:r>
        <w:rPr>
          <w:rFonts w:ascii="Plus Jakarta Sans" w:cs="Plus Jakarta Sans" w:eastAsia="Plus Jakarta Sans" w:hAnsi="Plus Jakarta Sans"/>
          <w:color w:val="0E211B"/>
          <w:sz w:val="19"/>
          <w:szCs w:val="19"/>
        </w:rPr>
        <w:t xml:space="preserve">Structured hiring advisory for finance roles. Not a psychometric assessment. Does not predict performance. The decision, and its consequences, rest with the employer.</w:t>
      </w:r>
    </w:p>
    <w:sectPr>
      <w:footerReference w:type="default" r:id="rId6"/>
      <w:pgSz w:w="11906" w:h="16838" w:orient="portrait"/>
      <w:pgMar w:top="1361" w:right="1361" w:bottom="1361" w:left="1361"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3DE" w:sz="4" w:space="6"/>
      </w:pBdr>
      <w:spacing w:after="0" w:before="0" w:line="300"/>
    </w:pPr>
    <w:r>
      <w:rPr>
        <w:rFonts w:ascii="Plus Jakarta Sans" w:cs="Plus Jakarta Sans" w:eastAsia="Plus Jakarta Sans" w:hAnsi="Plus Jakarta Sans"/>
        <w:b/>
        <w:bCs/>
        <w:color w:val="1C3D35"/>
        <w:sz w:val="15"/>
        <w:szCs w:val="15"/>
      </w:rPr>
      <w:t xml:space="preserve">Calibre by Daftar</w:t>
    </w:r>
    <w:r>
      <w:rPr>
        <w:rFonts w:ascii="Plus Jakarta Sans" w:cs="Plus Jakarta Sans" w:eastAsia="Plus Jakarta Sans" w:hAnsi="Plus Jakarta Sans"/>
        <w:color w:val="596B66"/>
        <w:sz w:val="15"/>
        <w:szCs w:val="15"/>
      </w:rPr>
      <w:t xml:space="preserve">  ·  A product of Daftar Advisory · Amman  ·  Private rate card  ·  </w:t>
    </w:r>
    <w:r>
      <w:rPr>
        <w:rFonts w:ascii="Plus Jakarta Sans" w:cs="Plus Jakarta Sans" w:eastAsia="Plus Jakarta Sans" w:hAnsi="Plus Jakarta Sans"/>
        <w:color w:val="596B6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6514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394740"/>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color w:val="0E211B"/>
      <w:sz w:val="30"/>
      <w:szCs w:val="30"/>
    </w:rPr>
  </w:style>
  <w:style w:type="paragraph" w:styleId="Heading2">
    <w:name w:val="Heading 2"/>
    <w:basedOn w:val="Normal"/>
    <w:next w:val="Normal"/>
    <w:qFormat/>
    <w:pPr>
      <w:outlineLvl w:val="1"/>
    </w:pPr>
    <w:rPr>
      <w:rFonts w:ascii="Plus Jakarta Sans" w:cs="Plus Jakarta Sans" w:eastAsia="Plus Jakarta Sans" w:hAnsi="Plus Jakarta Sans"/>
      <w:b/>
      <w:bCs/>
      <w:color w:val="1C3D3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Private rate card</dc:title>
  <dc:creator>Calibre by Daftar</dc:creator>
  <cp:lastModifiedBy>Un-named</cp:lastModifiedBy>
  <cp:revision>1</cp:revision>
  <dcterms:created xsi:type="dcterms:W3CDTF">2026-09-30T14:47:17.138Z</dcterms:created>
  <dcterms:modified xsi:type="dcterms:W3CDTF">2026-09-30T14:47:17.140Z</dcterms:modified>
</cp:coreProperties>
</file>

<file path=docProps/custom.xml><?xml version="1.0" encoding="utf-8"?>
<Properties xmlns="http://schemas.openxmlformats.org/officeDocument/2006/custom-properties" xmlns:vt="http://schemas.openxmlformats.org/officeDocument/2006/docPropsVTypes"/>
</file>