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0" w:line="300"/>
      </w:pPr>
      <w:r>
        <w:rPr>
          <w:rFonts w:ascii="Lora" w:cs="Lora" w:eastAsia="Lora" w:hAnsi="Lora"/>
          <w:i/>
          <w:iCs/>
          <w:color w:val="0E211B"/>
          <w:sz w:val="34"/>
          <w:szCs w:val="34"/>
        </w:rPr>
        <w:t xml:space="preserve">Calibre</w:t>
      </w:r>
      <w:r>
        <w:rPr>
          <w:rFonts w:ascii="Plus Jakarta Sans" w:cs="Plus Jakarta Sans" w:eastAsia="Plus Jakarta Sans" w:hAnsi="Plus Jakarta Sans"/>
          <w:b/>
          <w:bCs/>
          <w:color w:val="596B66"/>
          <w:sz w:val="17"/>
          <w:szCs w:val="17"/>
        </w:rPr>
        <w:t xml:space="preserve">   by Daftar</w:t>
      </w:r>
    </w:p>
    <w:p>
      <w:pPr>
        <w:pBdr>
          <w:left w:val="single" w:color="265147" w:sz="18" w:space="8"/>
        </w:pBdr>
        <w:spacing w:after="220" w:before="0" w:line="300"/>
        <w:ind w:left="170"/>
      </w:pPr>
      <w:r>
        <w:rPr>
          <w:rFonts w:ascii="Plus Jakarta Sans" w:cs="Plus Jakarta Sans" w:eastAsia="Plus Jakarta Sans" w:hAnsi="Plus Jakarta Sans"/>
          <w:b/>
          <w:bCs/>
          <w:caps/>
          <w:color w:val="265147"/>
          <w:spacing w:val="30"/>
          <w:sz w:val="15"/>
          <w:szCs w:val="15"/>
        </w:rPr>
        <w:t xml:space="preserve">Verdict memo · Template</w:t>
      </w:r>
    </w:p>
    <w:p>
      <w:pPr>
        <w:spacing w:after="180" w:before="0" w:line="276"/>
      </w:pPr>
      <w:r>
        <w:rPr>
          <w:rFonts w:ascii="Lora" w:cs="Lora" w:eastAsia="Lora" w:hAnsi="Lora"/>
          <w:color w:val="0E211B"/>
          <w:sz w:val="46"/>
          <w:szCs w:val="46"/>
        </w:rPr>
        <w:t xml:space="preserve">Calibre Verdict: [Role] · [Client]</w:t>
      </w:r>
    </w:p>
    <w:p>
      <w:pPr>
        <w:keepNext/>
        <w:pBdr>
          <w:left w:val="single" w:color="596B66" w:sz="24" w:space="10"/>
        </w:pBdr>
        <w:shd w:fill="F6F7F8" w:color="auto" w:val="clear"/>
        <w:spacing w:after="0" w:before="160" w:line="280"/>
        <w:ind w:left="200" w:right="120"/>
      </w:pPr>
      <w:r>
        <w:rPr>
          <w:rFonts w:ascii="Plus Jakarta Sans" w:cs="Plus Jakarta Sans" w:eastAsia="Plus Jakarta Sans" w:hAnsi="Plus Jakarta Sans"/>
          <w:b/>
          <w:bCs/>
          <w:caps/>
          <w:color w:val="596B66"/>
          <w:spacing w:val="30"/>
          <w:sz w:val="15"/>
          <w:szCs w:val="15"/>
        </w:rPr>
        <w:t xml:space="preserve">Template</w:t>
      </w:r>
    </w:p>
    <w:p>
      <w:pPr>
        <w:pBdr>
          <w:left w:val="single" w:color="596B66" w:sz="24" w:space="10"/>
        </w:pBdr>
        <w:shd w:fill="F6F7F8" w:color="auto" w:val="clear"/>
        <w:spacing w:after="200" w:before="0" w:line="290"/>
        <w:ind w:left="200" w:right="120"/>
      </w:pPr>
      <w:r>
        <w:rPr>
          <w:rFonts w:ascii="Plus Jakarta Sans" w:cs="Plus Jakarta Sans" w:eastAsia="Plus Jakarta Sans" w:hAnsi="Plus Jakarta Sans"/>
          <w:color w:val="0E211B"/>
          <w:sz w:val="19"/>
          <w:szCs w:val="19"/>
        </w:rPr>
        <w:t xml:space="preserve">Replace every bracketed placeholder and delete the guidance notes before issuing. The sections follow product/METHOD.md §7, in order. Candidates always appear in reference order, K1 first, never sorted by score.</w:t>
      </w:r>
    </w:p>
    <w:tbl>
      <w:tblPr>
        <w:tblW w:type="dxa" w:w="918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700"/>
        <w:gridCol w:w="6484"/>
      </w:tblGrid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Client</w:t>
            </w:r>
          </w:p>
        </w:tc>
        <w:tc>
          <w:tcPr>
            <w:tcW w:type="dxa" w:w="64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[Client entity]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Role</w:t>
            </w:r>
          </w:p>
        </w:tc>
        <w:tc>
          <w:tcPr>
            <w:tcW w:type="dxa" w:w="64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[Role title]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Hiring lead</w:t>
            </w:r>
          </w:p>
        </w:tc>
        <w:tc>
          <w:tcPr>
            <w:tcW w:type="dxa" w:w="64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[Name, title]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Panel</w:t>
            </w:r>
          </w:p>
        </w:tc>
        <w:tc>
          <w:tcPr>
            <w:tcW w:type="dxa" w:w="64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[P1 to P5 names]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Finalists reviewed</w:t>
            </w:r>
          </w:p>
        </w:tc>
        <w:tc>
          <w:tcPr>
            <w:tcW w:type="dxa" w:w="64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[K1 to K_]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Rubric locked</w:t>
            </w:r>
          </w:p>
        </w:tc>
        <w:tc>
          <w:tcPr>
            <w:tcW w:type="dxa" w:w="64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[Version n, date and time]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Scoring closed</w:t>
            </w:r>
          </w:p>
        </w:tc>
        <w:tc>
          <w:tcPr>
            <w:tcW w:type="dxa" w:w="64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[Date]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Calibration session</w:t>
            </w:r>
          </w:p>
        </w:tc>
        <w:tc>
          <w:tcPr>
            <w:tcW w:type="dxa" w:w="64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[Date]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Verdict issued</w:t>
            </w:r>
          </w:p>
        </w:tc>
        <w:tc>
          <w:tcPr>
            <w:tcW w:type="dxa" w:w="64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[Date]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Memo version</w:t>
            </w:r>
          </w:p>
        </w:tc>
        <w:tc>
          <w:tcPr>
            <w:tcW w:type="dxa" w:w="64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[n]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4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[Calibre lead]</w:t>
            </w:r>
          </w:p>
        </w:tc>
      </w:tr>
    </w:tbl>
    <w:p>
      <w:pPr>
        <w:spacing w:after="0" w:before="0" w:line="160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/>
      </w:r>
    </w:p>
    <w:p>
      <w:pPr>
        <w:keepNext/>
        <w:pBdr>
          <w:left w:val="single" w:color="265147" w:sz="24" w:space="10"/>
        </w:pBdr>
        <w:shd w:fill="D5E3DE" w:color="auto" w:val="clear"/>
        <w:spacing w:after="0" w:before="160" w:line="280"/>
        <w:ind w:left="200" w:right="120"/>
      </w:pPr>
      <w:r>
        <w:rPr>
          <w:rFonts w:ascii="Plus Jakarta Sans" w:cs="Plus Jakarta Sans" w:eastAsia="Plus Jakarta Sans" w:hAnsi="Plus Jakarta Sans"/>
          <w:b/>
          <w:bCs/>
          <w:caps/>
          <w:color w:val="265147"/>
          <w:spacing w:val="30"/>
          <w:sz w:val="15"/>
          <w:szCs w:val="15"/>
        </w:rPr>
        <w:t xml:space="preserve">Use statement</w:t>
      </w:r>
    </w:p>
    <w:p>
      <w:pPr>
        <w:pBdr>
          <w:left w:val="single" w:color="265147" w:sz="24" w:space="10"/>
        </w:pBdr>
        <w:shd w:fill="D5E3DE" w:color="auto" w:val="clear"/>
        <w:spacing w:after="200" w:before="0" w:line="290"/>
        <w:ind w:left="200" w:right="120"/>
      </w:pPr>
      <w:r>
        <w:rPr>
          <w:rFonts w:ascii="Plus Jakarta Sans" w:cs="Plus Jakarta Sans" w:eastAsia="Plus Jakarta Sans" w:hAnsi="Plus Jakarta Sans"/>
          <w:color w:val="0E211B"/>
          <w:sz w:val="19"/>
          <w:szCs w:val="19"/>
        </w:rPr>
        <w:t xml:space="preserve">Structured hiring advisory for finance roles. Not a psychometric assessment. Does not predict performance. The decision, and its consequences, rest with the employer.</w:t>
      </w:r>
    </w:p>
    <w:p>
      <w:pPr>
        <w:pStyle w:val="Heading2"/>
        <w:keepNext/>
        <w:spacing w:after="80" w:before="200"/>
      </w:pPr>
      <w:r>
        <w:rPr>
          <w:rFonts w:ascii="Plus Jakarta Sans" w:cs="Plus Jakarta Sans" w:eastAsia="Plus Jakarta Sans" w:hAnsi="Plus Jakarta Sans"/>
          <w:b/>
          <w:bCs/>
          <w:color w:val="1C3D35"/>
          <w:sz w:val="20"/>
          <w:szCs w:val="20"/>
        </w:rPr>
        <w:t xml:space="preserve">Purpose and limits of this Verdict</w:t>
      </w:r>
    </w:p>
    <w:p>
      <w:pPr>
        <w:spacing w:after="120" w:before="0" w:line="300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>This Verdict is an advisory structuring of the evidence supplied by the client. It is not a hiring decision, an assessment of the candidate as a person, or a prediction of future performance. Every conclusion is stated against a role criterion that was agreed and locked before any candidate evidence was reviewed. No psychometric instrument, personality inventory, work-style profile or culture-fit measure has been used, and none of the conclusions rest on inference about protected characteristics. Where the evidence does not support a conclusion, that is recorded as a gap rather than resolved by assumption. The employer retains the hiring decision in full.</w:t>
      </w:r>
    </w:p>
    <w:p>
      <w:pPr>
        <w:spacing w:after="140" w:before="0" w:line="300"/>
      </w:pPr>
      <w:r>
        <w:rPr>
          <w:rFonts w:ascii="Plus Jakarta Sans" w:cs="Plus Jakarta Sans" w:eastAsia="Plus Jakarta Sans" w:hAnsi="Plus Jakarta Sans"/>
          <w:b/>
          <w:bCs/>
          <w:caps/>
          <w:color w:val="265147"/>
          <w:spacing w:val="20"/>
          <w:sz w:val="16"/>
          <w:szCs w:val="16"/>
        </w:rPr>
        <w:t xml:space="preserve">Guidance  </w:t>
      </w:r>
      <w:r>
        <w:rPr>
          <w:rFonts w:ascii="Plus Jakarta Sans" w:cs="Plus Jakarta Sans" w:eastAsia="Plus Jakarta Sans" w:hAnsi="Plus Jakarta Sans"/>
          <w:i/>
          <w:iCs/>
          <w:color w:val="596B66"/>
          <w:sz w:val="17"/>
          <w:szCs w:val="17"/>
        </w:rPr>
        <w:t xml:space="preserve">Standing text. It keeps the Verdict advisory rather than determinative, and it is the first thing a challenged client will point to. Reword it only with a considered reason.</w:t>
      </w:r>
    </w:p>
    <w:p>
      <w:pPr>
        <w:keepNext/>
        <w:spacing w:after="30" w:before="200" w:line="300"/>
      </w:pPr>
      <w:r>
        <w:rPr>
          <w:rFonts w:ascii="Plus Jakarta Sans" w:cs="Plus Jakarta Sans" w:eastAsia="Plus Jakarta Sans" w:hAnsi="Plus Jakarta Sans"/>
          <w:b/>
          <w:bCs/>
          <w:color w:val="265147"/>
          <w:spacing w:val="30"/>
          <w:sz w:val="15"/>
          <w:szCs w:val="15"/>
        </w:rPr>
        <w:t xml:space="preserve">§ 01</w:t>
      </w:r>
    </w:p>
    <w:p>
      <w:pPr>
        <w:pStyle w:val="Heading1"/>
        <w:keepNext/>
        <w:pBdr>
          <w:bottom w:val="single" w:color="D5E3DE" w:sz="4" w:space="6"/>
        </w:pBdr>
        <w:spacing w:after="100" w:before="0"/>
      </w:pPr>
      <w:r>
        <w:rPr>
          <w:rFonts w:ascii="Lora" w:cs="Lora" w:eastAsia="Lora" w:hAnsi="Lora"/>
          <w:color w:val="0E211B"/>
          <w:sz w:val="30"/>
          <w:szCs w:val="30"/>
        </w:rPr>
        <w:t xml:space="preserve">Decision context</w:t>
      </w:r>
    </w:p>
    <w:tbl>
      <w:tblPr>
        <w:tblW w:type="dxa" w:w="918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700"/>
        <w:gridCol w:w="6484"/>
      </w:tblGrid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Seat</w:t>
            </w:r>
          </w:p>
        </w:tc>
        <w:tc>
          <w:tcPr>
            <w:tcW w:type="dxa" w:w="64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[Title, reporting line, team size, entity scope, location]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First-year outcomes</w:t>
            </w:r>
          </w:p>
        </w:tc>
        <w:tc>
          <w:tcPr>
            <w:tcW w:type="dxa" w:w="64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[Three to five, from the intake form]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What makes this hire hard</w:t>
            </w:r>
          </w:p>
        </w:tc>
        <w:tc>
          <w:tcPr>
            <w:tcW w:type="dxa" w:w="64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[From the intake form]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Non-negotiables</w:t>
            </w:r>
          </w:p>
        </w:tc>
        <w:tc>
          <w:tcPr>
            <w:tcW w:type="dxa" w:w="64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[List] · Verified for all finalists: [Yes / No, with any exceptions]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Panel</w:t>
            </w:r>
          </w:p>
        </w:tc>
        <w:tc>
          <w:tcPr>
            <w:tcW w:type="dxa" w:w="64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[Names. Hiring lead: name]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Dates</w:t>
            </w:r>
          </w:p>
        </w:tc>
        <w:tc>
          <w:tcPr>
            <w:tcW w:type="dxa" w:w="64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[Rubric locked · scoring closed · calibration session]</w:t>
            </w:r>
          </w:p>
        </w:tc>
      </w:tr>
    </w:tbl>
    <w:p>
      <w:pPr>
        <w:spacing w:after="0" w:before="0" w:line="160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/>
      </w:r>
    </w:p>
    <w:p>
      <w:pPr>
        <w:keepNext/>
        <w:spacing w:after="30" w:before="200" w:line="300"/>
      </w:pPr>
      <w:r>
        <w:rPr>
          <w:rFonts w:ascii="Plus Jakarta Sans" w:cs="Plus Jakarta Sans" w:eastAsia="Plus Jakarta Sans" w:hAnsi="Plus Jakarta Sans"/>
          <w:b/>
          <w:bCs/>
          <w:color w:val="265147"/>
          <w:spacing w:val="30"/>
          <w:sz w:val="15"/>
          <w:szCs w:val="15"/>
        </w:rPr>
        <w:t xml:space="preserve">§ 02</w:t>
      </w:r>
    </w:p>
    <w:p>
      <w:pPr>
        <w:pStyle w:val="Heading1"/>
        <w:keepNext/>
        <w:pBdr>
          <w:bottom w:val="single" w:color="D5E3DE" w:sz="4" w:space="6"/>
        </w:pBdr>
        <w:spacing w:after="100" w:before="0"/>
      </w:pPr>
      <w:r>
        <w:rPr>
          <w:rFonts w:ascii="Lora" w:cs="Lora" w:eastAsia="Lora" w:hAnsi="Lora"/>
          <w:color w:val="0E211B"/>
          <w:sz w:val="30"/>
          <w:szCs w:val="30"/>
        </w:rPr>
        <w:t xml:space="preserve">The standard</w:t>
      </w:r>
    </w:p>
    <w:p>
      <w:pPr>
        <w:spacing w:after="120" w:before="0" w:line="300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>Rubric version [n], locked [date and time] before any finalist was scored. It was not changed at any point after the first score was submitted.</w:t>
      </w:r>
    </w:p>
    <w:tbl>
      <w:tblPr>
        <w:tblW w:type="dxa" w:w="918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00"/>
        <w:gridCol w:w="2300"/>
        <w:gridCol w:w="1150"/>
        <w:gridCol w:w="900"/>
        <w:gridCol w:w="4134"/>
      </w:tblGrid>
      <w:tr>
        <w:trPr>
          <w:cantSplit/>
          <w:tblHeader/>
        </w:trPr>
        <w:tc>
          <w:tcPr>
            <w:tcW w:type="dxa" w:w="70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Ref</w:t>
            </w:r>
          </w:p>
        </w:tc>
        <w:tc>
          <w:tcPr>
            <w:tcW w:type="dxa" w:w="230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Criterion</w:t>
            </w:r>
          </w:p>
        </w:tc>
        <w:tc>
          <w:tcPr>
            <w:tcW w:type="dxa" w:w="115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Must / Pref.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Weight</w:t>
            </w:r>
          </w:p>
        </w:tc>
        <w:tc>
          <w:tcPr>
            <w:tcW w:type="dxa" w:w="4134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Anchor 3, the hireable level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C1</w:t>
            </w:r>
          </w:p>
        </w:tc>
        <w:tc>
          <w:tcPr>
            <w:tcW w:type="dxa" w:w="23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Technical accounting and IFRS application</w:t>
            </w:r>
          </w:p>
        </w:tc>
        <w:tc>
          <w:tcPr>
            <w:tcW w:type="dxa" w:w="115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Must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15</w:t>
            </w:r>
          </w:p>
        </w:tc>
        <w:tc>
          <w:tcPr>
            <w:tcW w:type="dxa" w:w="413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Has applied the standards material to this entity (e.g. revenue, leases, impairment) in a prior role and can explain one judgement they made and why.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C2</w:t>
            </w:r>
          </w:p>
        </w:tc>
        <w:tc>
          <w:tcPr>
            <w:tcW w:type="dxa" w:w="23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Financial reporting and close ownership</w:t>
            </w:r>
          </w:p>
        </w:tc>
        <w:tc>
          <w:tcPr>
            <w:tcW w:type="dxa" w:w="115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Must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15</w:t>
            </w:r>
          </w:p>
        </w:tc>
        <w:tc>
          <w:tcPr>
            <w:tcW w:type="dxa" w:w="413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Has owned a monthly or quarterly close of comparable size and complexity, including the reconciliations and the reporting pack.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C3</w:t>
            </w:r>
          </w:p>
        </w:tc>
        <w:tc>
          <w:tcPr>
            <w:tcW w:type="dxa" w:w="23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Controls, compliance and audit readiness</w:t>
            </w:r>
          </w:p>
        </w:tc>
        <w:tc>
          <w:tcPr>
            <w:tcW w:type="dxa" w:w="115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Must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12</w:t>
            </w:r>
          </w:p>
        </w:tc>
        <w:tc>
          <w:tcPr>
            <w:tcW w:type="dxa" w:w="413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Has run an audit as the entity-side owner: PBC list, sample support, auditor queries closed within the timetable.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C4</w:t>
            </w:r>
          </w:p>
        </w:tc>
        <w:tc>
          <w:tcPr>
            <w:tcW w:type="dxa" w:w="23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Planning, budgeting and forecasting</w:t>
            </w:r>
          </w:p>
        </w:tc>
        <w:tc>
          <w:tcPr>
            <w:tcW w:type="dxa" w:w="115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Must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12</w:t>
            </w:r>
          </w:p>
        </w:tc>
        <w:tc>
          <w:tcPr>
            <w:tcW w:type="dxa" w:w="413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Has built and maintained a budget or rolling forecast for the entity, and can explain the two or three assumptions that actually drive it.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C5</w:t>
            </w:r>
          </w:p>
        </w:tc>
        <w:tc>
          <w:tcPr>
            <w:tcW w:type="dxa" w:w="23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Cash, treasury and working capital</w:t>
            </w:r>
          </w:p>
        </w:tc>
        <w:tc>
          <w:tcPr>
            <w:tcW w:type="dxa" w:w="115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Preferred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8</w:t>
            </w:r>
          </w:p>
        </w:tc>
        <w:tc>
          <w:tcPr>
            <w:tcW w:type="dxa" w:w="413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Has owned a cash forecast and a payment run, and understands the entity's working-capital cycle.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C6</w:t>
            </w:r>
          </w:p>
        </w:tc>
        <w:tc>
          <w:tcPr>
            <w:tcW w:type="dxa" w:w="23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Systems, data and reporting tooling</w:t>
            </w:r>
          </w:p>
        </w:tc>
        <w:tc>
          <w:tcPr>
            <w:tcW w:type="dxa" w:w="115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Must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10</w:t>
            </w:r>
          </w:p>
        </w:tc>
        <w:tc>
          <w:tcPr>
            <w:tcW w:type="dxa" w:w="413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Is fluent in the entity's ERP class and can build the reporting that sits on top of it without help.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C7</w:t>
            </w:r>
          </w:p>
        </w:tc>
        <w:tc>
          <w:tcPr>
            <w:tcW w:type="dxa" w:w="23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Team leadership and delegation</w:t>
            </w:r>
          </w:p>
        </w:tc>
        <w:tc>
          <w:tcPr>
            <w:tcW w:type="dxa" w:w="115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Preferred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10</w:t>
            </w:r>
          </w:p>
        </w:tc>
        <w:tc>
          <w:tcPr>
            <w:tcW w:type="dxa" w:w="413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Has supervised a team of comparable size, including review of their work and management of the close timetable across them.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C8</w:t>
            </w:r>
          </w:p>
        </w:tc>
        <w:tc>
          <w:tcPr>
            <w:tcW w:type="dxa" w:w="23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Stakeholder communication and reporting</w:t>
            </w:r>
          </w:p>
        </w:tc>
        <w:tc>
          <w:tcPr>
            <w:tcW w:type="dxa" w:w="115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Must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10</w:t>
            </w:r>
          </w:p>
        </w:tc>
        <w:tc>
          <w:tcPr>
            <w:tcW w:type="dxa" w:w="413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Presents regularly to management or the board and can translate a variance into a business cause without prompting.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C9</w:t>
            </w:r>
          </w:p>
        </w:tc>
        <w:tc>
          <w:tcPr>
            <w:tcW w:type="dxa" w:w="23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Jurisdictional and regulatory exposure</w:t>
            </w:r>
          </w:p>
        </w:tc>
        <w:tc>
          <w:tcPr>
            <w:tcW w:type="dxa" w:w="115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Preferred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8</w:t>
            </w:r>
          </w:p>
        </w:tc>
        <w:tc>
          <w:tcPr>
            <w:tcW w:type="dxa" w:w="413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Has operated under the entity's regime (e.g. UAE corporate tax, VAT, ZATCA, free-zone rules) and knows the filing calendar that applies.</w:t>
            </w:r>
          </w:p>
        </w:tc>
      </w:tr>
    </w:tbl>
    <w:p>
      <w:pPr>
        <w:spacing w:after="0" w:before="0" w:line="160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/>
      </w:r>
    </w:p>
    <w:p>
      <w:pPr>
        <w:spacing w:after="140" w:before="0" w:line="300"/>
      </w:pPr>
      <w:r>
        <w:rPr>
          <w:rFonts w:ascii="Plus Jakarta Sans" w:cs="Plus Jakarta Sans" w:eastAsia="Plus Jakarta Sans" w:hAnsi="Plus Jakarta Sans"/>
          <w:b/>
          <w:bCs/>
          <w:caps/>
          <w:color w:val="265147"/>
          <w:spacing w:val="20"/>
          <w:sz w:val="16"/>
          <w:szCs w:val="16"/>
        </w:rPr>
        <w:t xml:space="preserve">Guidance  </w:t>
      </w:r>
      <w:r>
        <w:rPr>
          <w:rFonts w:ascii="Plus Jakarta Sans" w:cs="Plus Jakarta Sans" w:eastAsia="Plus Jakarta Sans" w:hAnsi="Plus Jakarta Sans"/>
          <w:i/>
          <w:iCs/>
          <w:color w:val="596B66"/>
          <w:sz w:val="17"/>
          <w:szCs w:val="17"/>
        </w:rPr>
        <w:t xml:space="preserve">Paste the engagement's locked rubric, not this default. If a criterion was amended before the first score, show the amended wording and add: Amendment [n] ([date], [who]): [what]. Reason: [why].</w:t>
      </w:r>
    </w:p>
    <w:p>
      <w:pPr>
        <w:keepNext/>
        <w:spacing w:after="30" w:before="200" w:line="300"/>
      </w:pPr>
      <w:r>
        <w:rPr>
          <w:rFonts w:ascii="Plus Jakarta Sans" w:cs="Plus Jakarta Sans" w:eastAsia="Plus Jakarta Sans" w:hAnsi="Plus Jakarta Sans"/>
          <w:b/>
          <w:bCs/>
          <w:color w:val="265147"/>
          <w:spacing w:val="30"/>
          <w:sz w:val="15"/>
          <w:szCs w:val="15"/>
        </w:rPr>
        <w:t xml:space="preserve">§ 03</w:t>
      </w:r>
    </w:p>
    <w:p>
      <w:pPr>
        <w:pStyle w:val="Heading1"/>
        <w:keepNext/>
        <w:pBdr>
          <w:bottom w:val="single" w:color="D5E3DE" w:sz="4" w:space="6"/>
        </w:pBdr>
        <w:spacing w:after="100" w:before="0"/>
      </w:pPr>
      <w:r>
        <w:rPr>
          <w:rFonts w:ascii="Lora" w:cs="Lora" w:eastAsia="Lora" w:hAnsi="Lora"/>
          <w:color w:val="0E211B"/>
          <w:sz w:val="30"/>
          <w:szCs w:val="30"/>
        </w:rPr>
        <w:t xml:space="preserve">The finalists</w:t>
      </w:r>
    </w:p>
    <w:tbl>
      <w:tblPr>
        <w:tblW w:type="dxa" w:w="918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800"/>
        <w:gridCol w:w="1300"/>
        <w:gridCol w:w="4884"/>
        <w:gridCol w:w="2200"/>
      </w:tblGrid>
      <w:tr>
        <w:trPr>
          <w:cantSplit/>
          <w:tblHeader/>
        </w:trPr>
        <w:tc>
          <w:tcPr>
            <w:tcW w:type="dxa" w:w="80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Ref</w:t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Initials</w:t>
            </w:r>
          </w:p>
        </w:tc>
        <w:tc>
          <w:tcPr>
            <w:tcW w:type="dxa" w:w="4884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Evidence sources used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Candidate notice sent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K1</w:t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[  ]</w:t>
            </w:r>
          </w:p>
        </w:tc>
        <w:tc>
          <w:tcPr>
            <w:tcW w:type="dxa" w:w="48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[CV, interview notes, work sample]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[Date]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K2</w:t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[  ]</w:t>
            </w:r>
          </w:p>
        </w:tc>
        <w:tc>
          <w:tcPr>
            <w:tcW w:type="dxa" w:w="48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[CV, interview notes, work sample]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[Date]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K3</w:t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[  ]</w:t>
            </w:r>
          </w:p>
        </w:tc>
        <w:tc>
          <w:tcPr>
            <w:tcW w:type="dxa" w:w="48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[CV, interview notes, work sample]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[Date]</w:t>
            </w:r>
          </w:p>
        </w:tc>
      </w:tr>
      <w:tr>
        <w:trPr>
          <w:cantSplit/>
        </w:trPr>
        <w:tc>
          <w:tcPr>
            <w:tcW w:type="dxa" w:w="8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K4</w:t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[  ]</w:t>
            </w:r>
          </w:p>
        </w:tc>
        <w:tc>
          <w:tcPr>
            <w:tcW w:type="dxa" w:w="48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[CV, interview notes, work sample]</w:t>
            </w:r>
          </w:p>
        </w:tc>
        <w:tc>
          <w:tcPr>
            <w:tcW w:type="dxa" w:w="22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[Date]</w:t>
            </w:r>
          </w:p>
        </w:tc>
      </w:tr>
    </w:tbl>
    <w:p>
      <w:pPr>
        <w:spacing w:after="0" w:before="0" w:line="160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/>
      </w:r>
    </w:p>
    <w:p>
      <w:pPr>
        <w:spacing w:after="120" w:before="0" w:line="300"/>
      </w:pPr>
      <w:r>
        <w:rPr>
          <w:rFonts w:ascii="Plus Jakarta Sans" w:cs="Plus Jakarta Sans" w:eastAsia="Plus Jakarta Sans" w:hAnsi="Plus Jakarta Sans"/>
          <w:b/>
          <w:bCs/>
          <w:color w:val="1C3D35"/>
          <w:sz w:val="19"/>
          <w:szCs w:val="19"/>
        </w:rPr>
        <w:t xml:space="preserve">Evidence not supplied.  </w:t>
      </w:r>
      <w:r>
        <w:rPr>
          <w:rFonts w:ascii="Plus Jakarta Sans" w:cs="Plus Jakarta Sans" w:eastAsia="Plus Jakarta Sans" w:hAnsi="Plus Jakarta Sans"/>
          <w:color w:val="1C3D35"/>
          <w:sz w:val="19"/>
          <w:szCs w:val="19"/>
        </w:rPr>
        <w:t xml:space="preserve">[What was requested and not received. This list is the origin of most of the risks in section 07, and it protects the Verdict where a conclusion later proves wrong for a reason the evidence could not have shown.]</w:t>
      </w:r>
    </w:p>
    <w:p>
      <w:pPr>
        <w:spacing w:after="120" w:before="0" w:line="300"/>
      </w:pPr>
      <w:r>
        <w:rPr>
          <w:rFonts w:ascii="Plus Jakarta Sans" w:cs="Plus Jakarta Sans" w:eastAsia="Plus Jakarta Sans" w:hAnsi="Plus Jakarta Sans"/>
          <w:b/>
          <w:bCs/>
          <w:color w:val="1C3D35"/>
          <w:sz w:val="19"/>
          <w:szCs w:val="19"/>
        </w:rPr>
        <w:t xml:space="preserve">Independence.  </w:t>
      </w: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>Panelists scored independently and did not discuss finalists between interview and submission. Attested by </w:t>
      </w:r>
      <w:r>
        <w:rPr>
          <w:rFonts w:ascii="Plus Jakarta Sans" w:cs="Plus Jakarta Sans" w:eastAsia="Plus Jakarta Sans" w:hAnsi="Plus Jakarta Sans"/>
          <w:color w:val="1C3D35"/>
          <w:sz w:val="19"/>
          <w:szCs w:val="19"/>
        </w:rPr>
        <w:t xml:space="preserve">[hiring lead]</w:t>
      </w: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>.</w:t>
      </w:r>
    </w:p>
    <w:p>
      <w:pPr>
        <w:keepNext/>
        <w:spacing w:after="30" w:before="200" w:line="300"/>
      </w:pPr>
      <w:r>
        <w:rPr>
          <w:rFonts w:ascii="Plus Jakarta Sans" w:cs="Plus Jakarta Sans" w:eastAsia="Plus Jakarta Sans" w:hAnsi="Plus Jakarta Sans"/>
          <w:b/>
          <w:bCs/>
          <w:color w:val="265147"/>
          <w:spacing w:val="30"/>
          <w:sz w:val="15"/>
          <w:szCs w:val="15"/>
        </w:rPr>
        <w:t xml:space="preserve">§ 04</w:t>
      </w:r>
    </w:p>
    <w:p>
      <w:pPr>
        <w:pStyle w:val="Heading1"/>
        <w:keepNext/>
        <w:pBdr>
          <w:bottom w:val="single" w:color="D5E3DE" w:sz="4" w:space="6"/>
        </w:pBdr>
        <w:spacing w:after="100" w:before="0"/>
      </w:pPr>
      <w:r>
        <w:rPr>
          <w:rFonts w:ascii="Lora" w:cs="Lora" w:eastAsia="Lora" w:hAnsi="Lora"/>
          <w:color w:val="0E211B"/>
          <w:sz w:val="30"/>
          <w:szCs w:val="30"/>
        </w:rPr>
        <w:t xml:space="preserve">Scores before calibration</w:t>
      </w:r>
    </w:p>
    <w:p>
      <w:pPr>
        <w:spacing w:after="120" w:before="0" w:line="300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>The full matrix from sheet 02 of the working file. A score of 0 means no evidence was supplied; it is excluded from the spread and never read as a low score.</w:t>
      </w:r>
    </w:p>
    <w:tbl>
      <w:tblPr>
        <w:tblW w:type="dxa" w:w="918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784"/>
        <w:gridCol w:w="900"/>
        <w:gridCol w:w="900"/>
        <w:gridCol w:w="900"/>
        <w:gridCol w:w="900"/>
        <w:gridCol w:w="900"/>
        <w:gridCol w:w="900"/>
      </w:tblGrid>
      <w:tr>
        <w:trPr>
          <w:cantSplit/>
          <w:tblHeader/>
        </w:trPr>
        <w:tc>
          <w:tcPr>
            <w:tcW w:type="dxa" w:w="3784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K1 · Criterion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P1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P2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P3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P4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P5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Spread</w:t>
            </w:r>
          </w:p>
        </w:tc>
      </w:tr>
      <w:tr>
        <w:trPr>
          <w:cantSplit/>
        </w:trPr>
        <w:tc>
          <w:tcPr>
            <w:tcW w:type="dxa" w:w="37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C1  Technical accounting and IFRS application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7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C2  Financial reporting and close ownership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7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C3  Controls, compliance and audit readiness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7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C4  Planning, budgeting and forecasting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7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C5  Cash, treasury and working capital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7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C6  Systems, data and reporting tooling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7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C7  Team leadership and delegation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7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C8  Stakeholder communication and reporting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7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C9  Jurisdictional and regulatory exposure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 w:line="160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/>
      </w:r>
    </w:p>
    <w:p>
      <w:pPr>
        <w:spacing w:after="140" w:before="0" w:line="300"/>
      </w:pPr>
      <w:r>
        <w:rPr>
          <w:rFonts w:ascii="Plus Jakarta Sans" w:cs="Plus Jakarta Sans" w:eastAsia="Plus Jakarta Sans" w:hAnsi="Plus Jakarta Sans"/>
          <w:b/>
          <w:bCs/>
          <w:caps/>
          <w:color w:val="265147"/>
          <w:spacing w:val="20"/>
          <w:sz w:val="16"/>
          <w:szCs w:val="16"/>
        </w:rPr>
        <w:t xml:space="preserve">Guidance  </w:t>
      </w:r>
      <w:r>
        <w:rPr>
          <w:rFonts w:ascii="Plus Jakarta Sans" w:cs="Plus Jakarta Sans" w:eastAsia="Plus Jakarta Sans" w:hAnsi="Plus Jakarta Sans"/>
          <w:i/>
          <w:iCs/>
          <w:color w:val="596B66"/>
          <w:sz w:val="17"/>
          <w:szCs w:val="17"/>
        </w:rPr>
        <w:t xml:space="preserve">Repeat this table for each finalist, in reference order.</w:t>
      </w:r>
    </w:p>
    <w:p>
      <w:pPr>
        <w:keepNext/>
        <w:spacing w:after="30" w:before="200" w:line="300"/>
      </w:pPr>
      <w:r>
        <w:rPr>
          <w:rFonts w:ascii="Plus Jakarta Sans" w:cs="Plus Jakarta Sans" w:eastAsia="Plus Jakarta Sans" w:hAnsi="Plus Jakarta Sans"/>
          <w:b/>
          <w:bCs/>
          <w:color w:val="265147"/>
          <w:spacing w:val="30"/>
          <w:sz w:val="15"/>
          <w:szCs w:val="15"/>
        </w:rPr>
        <w:t xml:space="preserve">§ 05</w:t>
      </w:r>
    </w:p>
    <w:p>
      <w:pPr>
        <w:pStyle w:val="Heading1"/>
        <w:keepNext/>
        <w:pBdr>
          <w:bottom w:val="single" w:color="D5E3DE" w:sz="4" w:space="6"/>
        </w:pBdr>
        <w:spacing w:after="100" w:before="0"/>
      </w:pPr>
      <w:r>
        <w:rPr>
          <w:rFonts w:ascii="Lora" w:cs="Lora" w:eastAsia="Lora" w:hAnsi="Lora"/>
          <w:color w:val="0E211B"/>
          <w:sz w:val="30"/>
          <w:szCs w:val="30"/>
        </w:rPr>
        <w:t xml:space="preserve">Where the panel diverged</w:t>
      </w:r>
    </w:p>
    <w:p>
      <w:pPr>
        <w:spacing w:after="120" w:before="0" w:line="300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>Every cell with a spread of two points or more, the evidence on each side, and how the panel resolved it. A spread of 2 is a divergence. A spread of 3 or 4 is a contradiction, and each one is named in the prose below.</w:t>
      </w:r>
    </w:p>
    <w:tbl>
      <w:tblPr>
        <w:tblW w:type="dxa" w:w="918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00"/>
        <w:gridCol w:w="900"/>
        <w:gridCol w:w="1200"/>
        <w:gridCol w:w="800"/>
        <w:gridCol w:w="2484"/>
        <w:gridCol w:w="1100"/>
        <w:gridCol w:w="1800"/>
      </w:tblGrid>
      <w:tr>
        <w:trPr>
          <w:cantSplit/>
          <w:tblHeader/>
        </w:trPr>
        <w:tc>
          <w:tcPr>
            <w:tcW w:type="dxa" w:w="90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Finalist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Criterion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Scores</w:t>
            </w:r>
          </w:p>
        </w:tc>
        <w:tc>
          <w:tcPr>
            <w:tcW w:type="dxa" w:w="80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Spread</w:t>
            </w:r>
          </w:p>
        </w:tc>
        <w:tc>
          <w:tcPr>
            <w:tcW w:type="dxa" w:w="2484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Evidence on each side</w:t>
            </w:r>
          </w:p>
        </w:tc>
        <w:tc>
          <w:tcPr>
            <w:tcW w:type="dxa" w:w="110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Calibrated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Reason recorded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[K_]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[C_]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[e.g. 2, 4, 4]</w:t>
            </w:r>
          </w:p>
        </w:tc>
        <w:tc>
          <w:tcPr>
            <w:tcW w:type="dxa" w:w="8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[2]</w:t>
            </w:r>
          </w:p>
        </w:tc>
        <w:tc>
          <w:tcPr>
            <w:tcW w:type="dxa" w:w="24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[Evidence notes, side by side]</w:t>
            </w:r>
          </w:p>
        </w:tc>
        <w:tc>
          <w:tcPr>
            <w:tcW w:type="dxa" w:w="11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[3]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[The evidence that settled it]</w:t>
            </w:r>
          </w:p>
        </w:tc>
      </w:tr>
    </w:tbl>
    <w:p>
      <w:pPr>
        <w:spacing w:after="0" w:before="0" w:line="160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/>
      </w:r>
    </w:p>
    <w:p>
      <w:pPr>
        <w:spacing w:after="120" w:before="0" w:line="300"/>
      </w:pPr>
      <w:r>
        <w:rPr>
          <w:rFonts w:ascii="Plus Jakarta Sans" w:cs="Plus Jakarta Sans" w:eastAsia="Plus Jakarta Sans" w:hAnsi="Plus Jakarta Sans"/>
          <w:b/>
          <w:bCs/>
          <w:color w:val="1C3D35"/>
          <w:sz w:val="19"/>
          <w:szCs w:val="19"/>
        </w:rPr>
        <w:t xml:space="preserve">Contradictions.  </w:t>
      </w:r>
      <w:r>
        <w:rPr>
          <w:rFonts w:ascii="Plus Jakarta Sans" w:cs="Plus Jakarta Sans" w:eastAsia="Plus Jakarta Sans" w:hAnsi="Plus Jakarta Sans"/>
          <w:color w:val="1C3D35"/>
          <w:sz w:val="19"/>
          <w:szCs w:val="19"/>
        </w:rPr>
        <w:t xml:space="preserve">[Name each spread of 3 or 4: whether the disagreement was about the evidence, the meaning of the criterion, or its weighting, and how it was resolved.]</w:t>
      </w:r>
    </w:p>
    <w:p>
      <w:pPr>
        <w:spacing w:after="120" w:before="0" w:line="300"/>
      </w:pPr>
      <w:r>
        <w:rPr>
          <w:rFonts w:ascii="Plus Jakarta Sans" w:cs="Plus Jakarta Sans" w:eastAsia="Plus Jakarta Sans" w:hAnsi="Plus Jakarta Sans"/>
          <w:b/>
          <w:bCs/>
          <w:color w:val="1C3D35"/>
          <w:sz w:val="19"/>
          <w:szCs w:val="19"/>
        </w:rPr>
        <w:t xml:space="preserve">Unresolved.  </w:t>
      </w:r>
      <w:r>
        <w:rPr>
          <w:rFonts w:ascii="Plus Jakarta Sans" w:cs="Plus Jakarta Sans" w:eastAsia="Plus Jakarta Sans" w:hAnsi="Plus Jakarta Sans"/>
          <w:color w:val="1C3D35"/>
          <w:sz w:val="19"/>
          <w:szCs w:val="19"/>
        </w:rPr>
        <w:t xml:space="preserve">[Any flagged cell the panel could not resolve. It takes the panel mean and is carried into section 07 as a risk.]</w:t>
      </w:r>
    </w:p>
    <w:p>
      <w:pPr>
        <w:keepNext/>
        <w:spacing w:after="30" w:before="200" w:line="300"/>
      </w:pPr>
      <w:r>
        <w:rPr>
          <w:rFonts w:ascii="Plus Jakarta Sans" w:cs="Plus Jakarta Sans" w:eastAsia="Plus Jakarta Sans" w:hAnsi="Plus Jakarta Sans"/>
          <w:b/>
          <w:bCs/>
          <w:color w:val="265147"/>
          <w:spacing w:val="30"/>
          <w:sz w:val="15"/>
          <w:szCs w:val="15"/>
        </w:rPr>
        <w:t xml:space="preserve">§ 06</w:t>
      </w:r>
    </w:p>
    <w:p>
      <w:pPr>
        <w:pStyle w:val="Heading1"/>
        <w:keepNext/>
        <w:pBdr>
          <w:bottom w:val="single" w:color="D5E3DE" w:sz="4" w:space="6"/>
        </w:pBdr>
        <w:spacing w:after="100" w:before="0"/>
      </w:pPr>
      <w:r>
        <w:rPr>
          <w:rFonts w:ascii="Lora" w:cs="Lora" w:eastAsia="Lora" w:hAnsi="Lora"/>
          <w:color w:val="0E211B"/>
          <w:sz w:val="30"/>
          <w:szCs w:val="30"/>
        </w:rPr>
        <w:t xml:space="preserve">Scores after calibration and the weighted result</w:t>
      </w:r>
    </w:p>
    <w:tbl>
      <w:tblPr>
        <w:tblW w:type="dxa" w:w="918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00"/>
        <w:gridCol w:w="3884"/>
        <w:gridCol w:w="900"/>
        <w:gridCol w:w="925"/>
        <w:gridCol w:w="925"/>
        <w:gridCol w:w="925"/>
        <w:gridCol w:w="925"/>
      </w:tblGrid>
      <w:tr>
        <w:trPr>
          <w:cantSplit/>
          <w:tblHeader/>
        </w:trPr>
        <w:tc>
          <w:tcPr>
            <w:tcW w:type="dxa" w:w="70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Ref</w:t>
            </w:r>
          </w:p>
        </w:tc>
        <w:tc>
          <w:tcPr>
            <w:tcW w:type="dxa" w:w="3884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Criterion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Weight</w:t>
            </w:r>
          </w:p>
        </w:tc>
        <w:tc>
          <w:tcPr>
            <w:tcW w:type="dxa" w:w="925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K1</w:t>
            </w:r>
          </w:p>
        </w:tc>
        <w:tc>
          <w:tcPr>
            <w:tcW w:type="dxa" w:w="925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K2</w:t>
            </w:r>
          </w:p>
        </w:tc>
        <w:tc>
          <w:tcPr>
            <w:tcW w:type="dxa" w:w="925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K3</w:t>
            </w:r>
          </w:p>
        </w:tc>
        <w:tc>
          <w:tcPr>
            <w:tcW w:type="dxa" w:w="925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K4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C1</w:t>
            </w:r>
          </w:p>
        </w:tc>
        <w:tc>
          <w:tcPr>
            <w:tcW w:type="dxa" w:w="38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Technical accounting and IFRS application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15</w:t>
            </w:r>
          </w:p>
        </w:tc>
        <w:tc>
          <w:tcPr>
            <w:tcW w:type="dxa" w:w="925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25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25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25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C2</w:t>
            </w:r>
          </w:p>
        </w:tc>
        <w:tc>
          <w:tcPr>
            <w:tcW w:type="dxa" w:w="38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Financial reporting and close ownership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15</w:t>
            </w:r>
          </w:p>
        </w:tc>
        <w:tc>
          <w:tcPr>
            <w:tcW w:type="dxa" w:w="925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25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25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25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C3</w:t>
            </w:r>
          </w:p>
        </w:tc>
        <w:tc>
          <w:tcPr>
            <w:tcW w:type="dxa" w:w="38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Controls, compliance and audit readiness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12</w:t>
            </w:r>
          </w:p>
        </w:tc>
        <w:tc>
          <w:tcPr>
            <w:tcW w:type="dxa" w:w="925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25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25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25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C4</w:t>
            </w:r>
          </w:p>
        </w:tc>
        <w:tc>
          <w:tcPr>
            <w:tcW w:type="dxa" w:w="38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Planning, budgeting and forecasting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12</w:t>
            </w:r>
          </w:p>
        </w:tc>
        <w:tc>
          <w:tcPr>
            <w:tcW w:type="dxa" w:w="925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25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25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25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C5</w:t>
            </w:r>
          </w:p>
        </w:tc>
        <w:tc>
          <w:tcPr>
            <w:tcW w:type="dxa" w:w="38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Cash, treasury and working capital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8</w:t>
            </w:r>
          </w:p>
        </w:tc>
        <w:tc>
          <w:tcPr>
            <w:tcW w:type="dxa" w:w="925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25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25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25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C6</w:t>
            </w:r>
          </w:p>
        </w:tc>
        <w:tc>
          <w:tcPr>
            <w:tcW w:type="dxa" w:w="38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Systems, data and reporting tooling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10</w:t>
            </w:r>
          </w:p>
        </w:tc>
        <w:tc>
          <w:tcPr>
            <w:tcW w:type="dxa" w:w="925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25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25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25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C7</w:t>
            </w:r>
          </w:p>
        </w:tc>
        <w:tc>
          <w:tcPr>
            <w:tcW w:type="dxa" w:w="38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Team leadership and delegation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10</w:t>
            </w:r>
          </w:p>
        </w:tc>
        <w:tc>
          <w:tcPr>
            <w:tcW w:type="dxa" w:w="925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25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25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25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C8</w:t>
            </w:r>
          </w:p>
        </w:tc>
        <w:tc>
          <w:tcPr>
            <w:tcW w:type="dxa" w:w="38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Stakeholder communication and reporting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10</w:t>
            </w:r>
          </w:p>
        </w:tc>
        <w:tc>
          <w:tcPr>
            <w:tcW w:type="dxa" w:w="925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25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25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25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C9</w:t>
            </w:r>
          </w:p>
        </w:tc>
        <w:tc>
          <w:tcPr>
            <w:tcW w:type="dxa" w:w="38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Jurisdictional and regulatory exposure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8</w:t>
            </w:r>
          </w:p>
        </w:tc>
        <w:tc>
          <w:tcPr>
            <w:tcW w:type="dxa" w:w="925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25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25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25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/>
            </w:r>
          </w:p>
        </w:tc>
        <w:tc>
          <w:tcPr>
            <w:tcW w:type="dxa" w:w="38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Weighted result (advisory)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25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25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25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925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 w:line="160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/>
      </w:r>
    </w:p>
    <w:p>
      <w:pPr>
        <w:spacing w:after="140" w:before="0" w:line="300"/>
      </w:pPr>
      <w:r>
        <w:rPr>
          <w:rFonts w:ascii="Plus Jakarta Sans" w:cs="Plus Jakarta Sans" w:eastAsia="Plus Jakarta Sans" w:hAnsi="Plus Jakarta Sans"/>
          <w:b/>
          <w:bCs/>
          <w:caps/>
          <w:color w:val="265147"/>
          <w:spacing w:val="20"/>
          <w:sz w:val="16"/>
          <w:szCs w:val="16"/>
        </w:rPr>
        <w:t xml:space="preserve">Guidance  </w:t>
      </w:r>
      <w:r>
        <w:rPr>
          <w:rFonts w:ascii="Plus Jakarta Sans" w:cs="Plus Jakarta Sans" w:eastAsia="Plus Jakarta Sans" w:hAnsi="Plus Jakarta Sans"/>
          <w:i/>
          <w:iCs/>
          <w:color w:val="596B66"/>
          <w:sz w:val="17"/>
          <w:szCs w:val="17"/>
        </w:rPr>
        <w:t xml:space="preserve">Shown in entry order. Never sorted, coloured or labelled. The weighted result runs from 0 to 100 and is an input to the recommendation, not the recommendation. A criterion with no evidence is shown as "no evidence" and the result is footnoted as incomplete.</w:t>
      </w:r>
    </w:p>
    <w:p>
      <w:pPr>
        <w:pStyle w:val="Heading2"/>
        <w:keepNext/>
        <w:spacing w:after="80" w:before="200"/>
      </w:pPr>
      <w:r>
        <w:rPr>
          <w:rFonts w:ascii="Plus Jakarta Sans" w:cs="Plus Jakarta Sans" w:eastAsia="Plus Jakarta Sans" w:hAnsi="Plus Jakarta Sans"/>
          <w:b/>
          <w:bCs/>
          <w:color w:val="1C3D35"/>
          <w:sz w:val="20"/>
          <w:szCs w:val="20"/>
        </w:rPr>
        <w:t xml:space="preserve">Findings by finalist</w:t>
      </w:r>
    </w:p>
    <w:p>
      <w:pPr>
        <w:keepNext/>
        <w:spacing w:after="80" w:before="160" w:line="300"/>
      </w:pPr>
      <w:r>
        <w:rPr>
          <w:rFonts w:ascii="Lora" w:cs="Lora" w:eastAsia="Lora" w:hAnsi="Lora"/>
          <w:color w:val="0E211B"/>
          <w:sz w:val="23"/>
          <w:szCs w:val="23"/>
        </w:rPr>
        <w:t xml:space="preserve">K1  ·  [initials]</w:t>
      </w:r>
    </w:p>
    <w:p>
      <w:pPr>
        <w:spacing w:after="120" w:before="0" w:line="300"/>
      </w:pPr>
      <w:r>
        <w:rPr>
          <w:rFonts w:ascii="Plus Jakarta Sans" w:cs="Plus Jakarta Sans" w:eastAsia="Plus Jakarta Sans" w:hAnsi="Plus Jakarta Sans"/>
          <w:b/>
          <w:bCs/>
          <w:color w:val="1C3D35"/>
          <w:sz w:val="19"/>
          <w:szCs w:val="19"/>
        </w:rPr>
        <w:t xml:space="preserve">Strengths against the role requirements.  </w:t>
      </w:r>
      <w:r>
        <w:rPr>
          <w:rFonts w:ascii="Plus Jakarta Sans" w:cs="Plus Jakarta Sans" w:eastAsia="Plus Jakarta Sans" w:hAnsi="Plus Jakarta Sans"/>
          <w:color w:val="1C3D35"/>
          <w:sz w:val="19"/>
          <w:szCs w:val="19"/>
        </w:rPr>
        <w:t xml:space="preserve">[Two or three findings, each naming the criterion and the evidence. e.g. Meets C2 at anchor 5: owned the close for a 40-entity group, evidenced in the CV and confirmed in the second interview note of 12 May.]</w:t>
      </w:r>
    </w:p>
    <w:p>
      <w:pPr>
        <w:spacing w:after="120" w:before="0" w:line="300"/>
      </w:pPr>
      <w:r>
        <w:rPr>
          <w:rFonts w:ascii="Plus Jakarta Sans" w:cs="Plus Jakarta Sans" w:eastAsia="Plus Jakarta Sans" w:hAnsi="Plus Jakarta Sans"/>
          <w:b/>
          <w:bCs/>
          <w:color w:val="1C3D35"/>
          <w:sz w:val="19"/>
          <w:szCs w:val="19"/>
        </w:rPr>
        <w:t xml:space="preserve">Material gaps and uncertainties.  </w:t>
      </w:r>
      <w:r>
        <w:rPr>
          <w:rFonts w:ascii="Plus Jakarta Sans" w:cs="Plus Jakarta Sans" w:eastAsia="Plus Jakarta Sans" w:hAnsi="Plus Jakarta Sans"/>
          <w:color w:val="1C3D35"/>
          <w:sz w:val="19"/>
          <w:szCs w:val="19"/>
        </w:rPr>
        <w:t xml:space="preserve">[What the evidence does not support, and what would resolve it. A demonstrated weakness and an absence of evidence are different findings and carry different weight.]</w:t>
      </w:r>
    </w:p>
    <w:p>
      <w:pPr>
        <w:spacing w:after="120" w:before="0" w:line="300"/>
      </w:pPr>
      <w:r>
        <w:rPr>
          <w:rFonts w:ascii="Plus Jakarta Sans" w:cs="Plus Jakarta Sans" w:eastAsia="Plus Jakarta Sans" w:hAnsi="Plus Jakarta Sans"/>
          <w:b/>
          <w:bCs/>
          <w:color w:val="1C3D35"/>
          <w:sz w:val="19"/>
          <w:szCs w:val="19"/>
        </w:rPr>
        <w:t xml:space="preserve">Evidence basis.  </w:t>
      </w:r>
      <w:r>
        <w:rPr>
          <w:rFonts w:ascii="Plus Jakarta Sans" w:cs="Plus Jakarta Sans" w:eastAsia="Plus Jakarta Sans" w:hAnsi="Plus Jakarta Sans"/>
          <w:color w:val="1C3D35"/>
          <w:sz w:val="19"/>
          <w:szCs w:val="19"/>
        </w:rPr>
        <w:t xml:space="preserve">[Where conclusions rest on documented evidence, on interview assertion alone, or on inference. Anything resting on inference is named.]</w:t>
      </w:r>
    </w:p>
    <w:p>
      <w:pPr>
        <w:keepNext/>
        <w:spacing w:after="80" w:before="160" w:line="300"/>
      </w:pPr>
      <w:r>
        <w:rPr>
          <w:rFonts w:ascii="Lora" w:cs="Lora" w:eastAsia="Lora" w:hAnsi="Lora"/>
          <w:color w:val="0E211B"/>
          <w:sz w:val="23"/>
          <w:szCs w:val="23"/>
        </w:rPr>
        <w:t xml:space="preserve">K2  ·  [initials]</w:t>
      </w:r>
    </w:p>
    <w:p>
      <w:pPr>
        <w:spacing w:after="120" w:before="0" w:line="300"/>
      </w:pPr>
      <w:r>
        <w:rPr>
          <w:rFonts w:ascii="Plus Jakarta Sans" w:cs="Plus Jakarta Sans" w:eastAsia="Plus Jakarta Sans" w:hAnsi="Plus Jakarta Sans"/>
          <w:b/>
          <w:bCs/>
          <w:color w:val="1C3D35"/>
          <w:sz w:val="19"/>
          <w:szCs w:val="19"/>
        </w:rPr>
        <w:t xml:space="preserve">Strengths against the role requirements.  </w:t>
      </w:r>
      <w:r>
        <w:rPr>
          <w:rFonts w:ascii="Plus Jakarta Sans" w:cs="Plus Jakarta Sans" w:eastAsia="Plus Jakarta Sans" w:hAnsi="Plus Jakarta Sans"/>
          <w:color w:val="1C3D35"/>
          <w:sz w:val="19"/>
          <w:szCs w:val="19"/>
        </w:rPr>
        <w:t xml:space="preserve">[Two or three findings, each naming the criterion and the evidence. e.g. Meets C2 at anchor 5: owned the close for a 40-entity group, evidenced in the CV and confirmed in the second interview note of 12 May.]</w:t>
      </w:r>
    </w:p>
    <w:p>
      <w:pPr>
        <w:spacing w:after="120" w:before="0" w:line="300"/>
      </w:pPr>
      <w:r>
        <w:rPr>
          <w:rFonts w:ascii="Plus Jakarta Sans" w:cs="Plus Jakarta Sans" w:eastAsia="Plus Jakarta Sans" w:hAnsi="Plus Jakarta Sans"/>
          <w:b/>
          <w:bCs/>
          <w:color w:val="1C3D35"/>
          <w:sz w:val="19"/>
          <w:szCs w:val="19"/>
        </w:rPr>
        <w:t xml:space="preserve">Material gaps and uncertainties.  </w:t>
      </w:r>
      <w:r>
        <w:rPr>
          <w:rFonts w:ascii="Plus Jakarta Sans" w:cs="Plus Jakarta Sans" w:eastAsia="Plus Jakarta Sans" w:hAnsi="Plus Jakarta Sans"/>
          <w:color w:val="1C3D35"/>
          <w:sz w:val="19"/>
          <w:szCs w:val="19"/>
        </w:rPr>
        <w:t xml:space="preserve">[What the evidence does not support, and what would resolve it. A demonstrated weakness and an absence of evidence are different findings and carry different weight.]</w:t>
      </w:r>
    </w:p>
    <w:p>
      <w:pPr>
        <w:spacing w:after="120" w:before="0" w:line="300"/>
      </w:pPr>
      <w:r>
        <w:rPr>
          <w:rFonts w:ascii="Plus Jakarta Sans" w:cs="Plus Jakarta Sans" w:eastAsia="Plus Jakarta Sans" w:hAnsi="Plus Jakarta Sans"/>
          <w:b/>
          <w:bCs/>
          <w:color w:val="1C3D35"/>
          <w:sz w:val="19"/>
          <w:szCs w:val="19"/>
        </w:rPr>
        <w:t xml:space="preserve">Evidence basis.  </w:t>
      </w:r>
      <w:r>
        <w:rPr>
          <w:rFonts w:ascii="Plus Jakarta Sans" w:cs="Plus Jakarta Sans" w:eastAsia="Plus Jakarta Sans" w:hAnsi="Plus Jakarta Sans"/>
          <w:color w:val="1C3D35"/>
          <w:sz w:val="19"/>
          <w:szCs w:val="19"/>
        </w:rPr>
        <w:t xml:space="preserve">[Where conclusions rest on documented evidence, on interview assertion alone, or on inference. Anything resting on inference is named.]</w:t>
      </w:r>
    </w:p>
    <w:p>
      <w:pPr>
        <w:keepNext/>
        <w:spacing w:after="80" w:before="160" w:line="300"/>
      </w:pPr>
      <w:r>
        <w:rPr>
          <w:rFonts w:ascii="Lora" w:cs="Lora" w:eastAsia="Lora" w:hAnsi="Lora"/>
          <w:color w:val="0E211B"/>
          <w:sz w:val="23"/>
          <w:szCs w:val="23"/>
        </w:rPr>
        <w:t xml:space="preserve">K3  ·  [initials]</w:t>
      </w:r>
    </w:p>
    <w:p>
      <w:pPr>
        <w:spacing w:after="120" w:before="0" w:line="300"/>
      </w:pPr>
      <w:r>
        <w:rPr>
          <w:rFonts w:ascii="Plus Jakarta Sans" w:cs="Plus Jakarta Sans" w:eastAsia="Plus Jakarta Sans" w:hAnsi="Plus Jakarta Sans"/>
          <w:b/>
          <w:bCs/>
          <w:color w:val="1C3D35"/>
          <w:sz w:val="19"/>
          <w:szCs w:val="19"/>
        </w:rPr>
        <w:t xml:space="preserve">Strengths against the role requirements.  </w:t>
      </w:r>
      <w:r>
        <w:rPr>
          <w:rFonts w:ascii="Plus Jakarta Sans" w:cs="Plus Jakarta Sans" w:eastAsia="Plus Jakarta Sans" w:hAnsi="Plus Jakarta Sans"/>
          <w:color w:val="1C3D35"/>
          <w:sz w:val="19"/>
          <w:szCs w:val="19"/>
        </w:rPr>
        <w:t xml:space="preserve">[Two or three findings, each naming the criterion and the evidence. e.g. Meets C2 at anchor 5: owned the close for a 40-entity group, evidenced in the CV and confirmed in the second interview note of 12 May.]</w:t>
      </w:r>
    </w:p>
    <w:p>
      <w:pPr>
        <w:spacing w:after="120" w:before="0" w:line="300"/>
      </w:pPr>
      <w:r>
        <w:rPr>
          <w:rFonts w:ascii="Plus Jakarta Sans" w:cs="Plus Jakarta Sans" w:eastAsia="Plus Jakarta Sans" w:hAnsi="Plus Jakarta Sans"/>
          <w:b/>
          <w:bCs/>
          <w:color w:val="1C3D35"/>
          <w:sz w:val="19"/>
          <w:szCs w:val="19"/>
        </w:rPr>
        <w:t xml:space="preserve">Material gaps and uncertainties.  </w:t>
      </w:r>
      <w:r>
        <w:rPr>
          <w:rFonts w:ascii="Plus Jakarta Sans" w:cs="Plus Jakarta Sans" w:eastAsia="Plus Jakarta Sans" w:hAnsi="Plus Jakarta Sans"/>
          <w:color w:val="1C3D35"/>
          <w:sz w:val="19"/>
          <w:szCs w:val="19"/>
        </w:rPr>
        <w:t xml:space="preserve">[What the evidence does not support, and what would resolve it. A demonstrated weakness and an absence of evidence are different findings and carry different weight.]</w:t>
      </w:r>
    </w:p>
    <w:p>
      <w:pPr>
        <w:spacing w:after="120" w:before="0" w:line="300"/>
      </w:pPr>
      <w:r>
        <w:rPr>
          <w:rFonts w:ascii="Plus Jakarta Sans" w:cs="Plus Jakarta Sans" w:eastAsia="Plus Jakarta Sans" w:hAnsi="Plus Jakarta Sans"/>
          <w:b/>
          <w:bCs/>
          <w:color w:val="1C3D35"/>
          <w:sz w:val="19"/>
          <w:szCs w:val="19"/>
        </w:rPr>
        <w:t xml:space="preserve">Evidence basis.  </w:t>
      </w:r>
      <w:r>
        <w:rPr>
          <w:rFonts w:ascii="Plus Jakarta Sans" w:cs="Plus Jakarta Sans" w:eastAsia="Plus Jakarta Sans" w:hAnsi="Plus Jakarta Sans"/>
          <w:color w:val="1C3D35"/>
          <w:sz w:val="19"/>
          <w:szCs w:val="19"/>
        </w:rPr>
        <w:t xml:space="preserve">[Where conclusions rest on documented evidence, on interview assertion alone, or on inference. Anything resting on inference is named.]</w:t>
      </w:r>
    </w:p>
    <w:p>
      <w:pPr>
        <w:keepNext/>
        <w:spacing w:after="30" w:before="200" w:line="300"/>
      </w:pPr>
      <w:r>
        <w:rPr>
          <w:rFonts w:ascii="Plus Jakarta Sans" w:cs="Plus Jakarta Sans" w:eastAsia="Plus Jakarta Sans" w:hAnsi="Plus Jakarta Sans"/>
          <w:b/>
          <w:bCs/>
          <w:color w:val="265147"/>
          <w:spacing w:val="30"/>
          <w:sz w:val="15"/>
          <w:szCs w:val="15"/>
        </w:rPr>
        <w:t xml:space="preserve">§ 07</w:t>
      </w:r>
    </w:p>
    <w:p>
      <w:pPr>
        <w:pStyle w:val="Heading1"/>
        <w:keepNext/>
        <w:pBdr>
          <w:bottom w:val="single" w:color="D5E3DE" w:sz="4" w:space="6"/>
        </w:pBdr>
        <w:spacing w:after="100" w:before="0"/>
      </w:pPr>
      <w:r>
        <w:rPr>
          <w:rFonts w:ascii="Lora" w:cs="Lora" w:eastAsia="Lora" w:hAnsi="Lora"/>
          <w:color w:val="0E211B"/>
          <w:sz w:val="30"/>
          <w:szCs w:val="30"/>
        </w:rPr>
        <w:t xml:space="preserve">Risks</w:t>
      </w:r>
    </w:p>
    <w:p>
      <w:pPr>
        <w:pStyle w:val="ListParagraph"/>
        <w:numPr>
          <w:ilvl w:val="0"/>
          <w:numId w:val="2"/>
        </w:numPr>
        <w:spacing w:after="30" w:before="0" w:line="300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>[Criteria on which the finalist with the highest weighted result scored 2 or below.]</w:t>
      </w:r>
    </w:p>
    <w:p>
      <w:pPr>
        <w:pStyle w:val="ListParagraph"/>
        <w:numPr>
          <w:ilvl w:val="0"/>
          <w:numId w:val="2"/>
        </w:numPr>
        <w:spacing w:after="30" w:before="0" w:line="300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>[Flagged cells left unresolved after calibration.]</w:t>
      </w:r>
    </w:p>
    <w:p>
      <w:pPr>
        <w:pStyle w:val="ListParagraph"/>
        <w:numPr>
          <w:ilvl w:val="0"/>
          <w:numId w:val="2"/>
        </w:numPr>
        <w:spacing w:after="30" w:before="0" w:line="300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>[Absent panelists, and whose scores are therefore missing.]</w:t>
      </w:r>
    </w:p>
    <w:p>
      <w:pPr>
        <w:pStyle w:val="ListParagraph"/>
        <w:numPr>
          <w:ilvl w:val="0"/>
          <w:numId w:val="2"/>
        </w:numPr>
        <w:spacing w:after="30" w:before="0" w:line="300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>[Non-negotiables not yet verified.]</w:t>
      </w:r>
    </w:p>
    <w:p>
      <w:pPr>
        <w:spacing w:after="120" w:before="0" w:line="300"/>
      </w:pPr>
      <w:r>
        <w:rPr>
          <w:rFonts w:ascii="Plus Jakarta Sans" w:cs="Plus Jakarta Sans" w:eastAsia="Plus Jakarta Sans" w:hAnsi="Plus Jakarta Sans"/>
          <w:b/>
          <w:bCs/>
          <w:color w:val="1C3D35"/>
          <w:sz w:val="19"/>
          <w:szCs w:val="19"/>
        </w:rPr>
        <w:t xml:space="preserve">Where the evidence is thin.  </w:t>
      </w:r>
      <w:r>
        <w:rPr>
          <w:rFonts w:ascii="Plus Jakarta Sans" w:cs="Plus Jakarta Sans" w:eastAsia="Plus Jakarta Sans" w:hAnsi="Plus Jakarta Sans"/>
          <w:color w:val="1C3D35"/>
          <w:sz w:val="19"/>
          <w:szCs w:val="19"/>
        </w:rPr>
        <w:t xml:space="preserve">[Each open uncertainty, tied to a criterion, with the specific step that would resolve it: a targeted question, a work sample, a reference call the client commissions separately.]</w:t>
      </w:r>
    </w:p>
    <w:p>
      <w:pPr>
        <w:spacing w:after="120" w:before="0" w:line="300"/>
      </w:pPr>
      <w:r>
        <w:rPr>
          <w:rFonts w:ascii="Plus Jakarta Sans" w:cs="Plus Jakarta Sans" w:eastAsia="Plus Jakarta Sans" w:hAnsi="Plus Jakarta Sans"/>
          <w:b/>
          <w:bCs/>
          <w:color w:val="1C3D35"/>
          <w:sz w:val="19"/>
          <w:szCs w:val="19"/>
        </w:rPr>
        <w:t xml:space="preserve">What this Verdict cannot tell you.  </w:t>
      </w:r>
      <w:r>
        <w:rPr>
          <w:rFonts w:ascii="Plus Jakarta Sans" w:cs="Plus Jakarta Sans" w:eastAsia="Plus Jakarta Sans" w:hAnsi="Plus Jakarta Sans"/>
          <w:color w:val="1C3D35"/>
          <w:sz w:val="19"/>
          <w:szCs w:val="19"/>
        </w:rPr>
        <w:t xml:space="preserve">[Be explicit. This is the product behaving honestly, and clients read it as the most credible part of the memo.]</w:t>
      </w:r>
    </w:p>
    <w:p>
      <w:pPr>
        <w:keepNext/>
        <w:spacing w:after="30" w:before="200" w:line="300"/>
      </w:pPr>
      <w:r>
        <w:rPr>
          <w:rFonts w:ascii="Plus Jakarta Sans" w:cs="Plus Jakarta Sans" w:eastAsia="Plus Jakarta Sans" w:hAnsi="Plus Jakarta Sans"/>
          <w:b/>
          <w:bCs/>
          <w:color w:val="265147"/>
          <w:spacing w:val="30"/>
          <w:sz w:val="15"/>
          <w:szCs w:val="15"/>
        </w:rPr>
        <w:t xml:space="preserve">§ 08</w:t>
      </w:r>
    </w:p>
    <w:p>
      <w:pPr>
        <w:pStyle w:val="Heading1"/>
        <w:keepNext/>
        <w:pBdr>
          <w:bottom w:val="single" w:color="D5E3DE" w:sz="4" w:space="6"/>
        </w:pBdr>
        <w:spacing w:after="100" w:before="0"/>
      </w:pPr>
      <w:r>
        <w:rPr>
          <w:rFonts w:ascii="Lora" w:cs="Lora" w:eastAsia="Lora" w:hAnsi="Lora"/>
          <w:color w:val="0E211B"/>
          <w:sz w:val="30"/>
          <w:szCs w:val="30"/>
        </w:rPr>
        <w:t xml:space="preserve">Recommendation</w:t>
      </w:r>
    </w:p>
    <w:p>
      <w:pPr>
        <w:spacing w:after="120" w:before="0" w:line="300"/>
      </w:pPr>
      <w:r>
        <w:rPr>
          <w:rFonts w:ascii="Plus Jakarta Sans" w:cs="Plus Jakarta Sans" w:eastAsia="Plus Jakarta Sans" w:hAnsi="Plus Jakarta Sans"/>
          <w:color w:val="1C3D35"/>
          <w:sz w:val="19"/>
          <w:szCs w:val="19"/>
        </w:rPr>
        <w:t xml:space="preserve">[The recommendation in one sentence, tied to the locked criteria. Then the reasoning in prose: which criteria drove it, which evidence carried the most weight, and what would change it.]</w:t>
      </w:r>
    </w:p>
    <w:p>
      <w:pPr>
        <w:spacing w:after="120" w:before="0" w:line="300"/>
      </w:pPr>
      <w:r>
        <w:rPr>
          <w:rFonts w:ascii="Plus Jakarta Sans" w:cs="Plus Jakarta Sans" w:eastAsia="Plus Jakarta Sans" w:hAnsi="Plus Jakarta Sans"/>
          <w:b/>
          <w:bCs/>
          <w:color w:val="1C3D35"/>
          <w:sz w:val="19"/>
          <w:szCs w:val="19"/>
        </w:rPr>
        <w:t xml:space="preserve">If you proceed with [K_].  </w:t>
      </w:r>
      <w:r>
        <w:rPr>
          <w:rFonts w:ascii="Plus Jakarta Sans" w:cs="Plus Jakarta Sans" w:eastAsia="Plus Jakarta Sans" w:hAnsi="Plus Jakarta Sans"/>
          <w:color w:val="1C3D35"/>
          <w:sz w:val="19"/>
          <w:szCs w:val="19"/>
        </w:rPr>
        <w:t xml:space="preserve">[The specific risks, and the mitigation the client can put in place: an onboarding focus, a probation checkpoint, a supporting hire.]</w:t>
      </w:r>
    </w:p>
    <w:p>
      <w:pPr>
        <w:keepNext/>
        <w:pBdr>
          <w:left w:val="single" w:color="265147" w:sz="24" w:space="10"/>
        </w:pBdr>
        <w:shd w:fill="F0F5F3" w:color="auto" w:val="clear"/>
        <w:spacing w:after="0" w:before="160" w:line="280"/>
        <w:ind w:left="200" w:right="120"/>
      </w:pPr>
      <w:r>
        <w:rPr>
          <w:rFonts w:ascii="Plus Jakarta Sans" w:cs="Plus Jakarta Sans" w:eastAsia="Plus Jakarta Sans" w:hAnsi="Plus Jakarta Sans"/>
          <w:b/>
          <w:bCs/>
          <w:caps/>
          <w:color w:val="265147"/>
          <w:spacing w:val="30"/>
          <w:sz w:val="15"/>
          <w:szCs w:val="15"/>
        </w:rPr>
        <w:t xml:space="preserve">Departure from the weighted result</w:t>
      </w:r>
    </w:p>
    <w:p>
      <w:pPr>
        <w:pBdr>
          <w:left w:val="single" w:color="265147" w:sz="24" w:space="10"/>
        </w:pBdr>
        <w:shd w:fill="F0F5F3" w:color="auto" w:val="clear"/>
        <w:spacing w:after="60" w:before="0" w:line="290"/>
        <w:ind w:left="200" w:right="120"/>
      </w:pPr>
      <w:r>
        <w:rPr>
          <w:rFonts w:ascii="Plus Jakarta Sans" w:cs="Plus Jakarta Sans" w:eastAsia="Plus Jakarta Sans" w:hAnsi="Plus Jakarta Sans"/>
          <w:color w:val="0E211B"/>
          <w:sz w:val="19"/>
          <w:szCs w:val="19"/>
        </w:rPr>
        <w:t xml:space="preserve">If this recommendation is not the finalist with the highest weighted result, state the job-related reason here. The Verdict cannot be issued without it.</w:t>
      </w:r>
    </w:p>
    <w:p>
      <w:pPr>
        <w:pBdr>
          <w:left w:val="single" w:color="265147" w:sz="24" w:space="10"/>
        </w:pBdr>
        <w:shd w:fill="F0F5F3" w:color="auto" w:val="clear"/>
        <w:spacing w:after="200" w:before="0" w:line="290"/>
        <w:ind w:left="200" w:right="120"/>
      </w:pPr>
      <w:r>
        <w:rPr>
          <w:rFonts w:ascii="Plus Jakarta Sans" w:cs="Plus Jakarta Sans" w:eastAsia="Plus Jakarta Sans" w:hAnsi="Plus Jakarta Sans"/>
          <w:color w:val="1C3D35"/>
          <w:sz w:val="19"/>
          <w:szCs w:val="19"/>
        </w:rPr>
        <w:t xml:space="preserve">[Reason]</w:t>
      </w:r>
    </w:p>
    <w:p>
      <w:pPr>
        <w:spacing w:after="120" w:before="0" w:line="300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>This is advice on the evidence against the agreed criteria. The hiring decision, and responsibility for it, remain with the employer.</w:t>
      </w:r>
    </w:p>
    <w:p>
      <w:pPr>
        <w:keepNext/>
        <w:spacing w:after="30" w:before="200" w:line="300"/>
      </w:pPr>
      <w:r>
        <w:rPr>
          <w:rFonts w:ascii="Plus Jakarta Sans" w:cs="Plus Jakarta Sans" w:eastAsia="Plus Jakarta Sans" w:hAnsi="Plus Jakarta Sans"/>
          <w:b/>
          <w:bCs/>
          <w:color w:val="265147"/>
          <w:spacing w:val="30"/>
          <w:sz w:val="15"/>
          <w:szCs w:val="15"/>
        </w:rPr>
        <w:t xml:space="preserve">§ 09</w:t>
      </w:r>
    </w:p>
    <w:p>
      <w:pPr>
        <w:pStyle w:val="Heading1"/>
        <w:keepNext/>
        <w:pBdr>
          <w:bottom w:val="single" w:color="D5E3DE" w:sz="4" w:space="6"/>
        </w:pBdr>
        <w:spacing w:after="100" w:before="0"/>
      </w:pPr>
      <w:r>
        <w:rPr>
          <w:rFonts w:ascii="Lora" w:cs="Lora" w:eastAsia="Lora" w:hAnsi="Lora"/>
          <w:color w:val="0E211B"/>
          <w:sz w:val="30"/>
          <w:szCs w:val="30"/>
        </w:rPr>
        <w:t xml:space="preserve">What happens next</w:t>
      </w:r>
    </w:p>
    <w:tbl>
      <w:tblPr>
        <w:tblW w:type="dxa" w:w="918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700"/>
        <w:gridCol w:w="6484"/>
      </w:tblGrid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Reference checks outstanding</w:t>
            </w:r>
          </w:p>
        </w:tc>
        <w:tc>
          <w:tcPr>
            <w:tcW w:type="dxa" w:w="64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[List]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Offer conditions</w:t>
            </w:r>
          </w:p>
        </w:tc>
        <w:tc>
          <w:tcPr>
            <w:tcW w:type="dxa" w:w="64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[List]</w:t>
            </w:r>
          </w:p>
        </w:tc>
      </w:tr>
    </w:tbl>
    <w:p>
      <w:pPr>
        <w:spacing w:after="0" w:before="0" w:line="160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/>
      </w:r>
    </w:p>
    <w:p>
      <w:pPr>
        <w:spacing w:after="120" w:before="0" w:line="300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>The hiring lead has agreed to answer four questions at each checkpoint after the start date. The answers are recorded against the role, by initials only.</w:t>
      </w:r>
    </w:p>
    <w:tbl>
      <w:tblPr>
        <w:tblW w:type="dxa" w:w="918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300"/>
        <w:gridCol w:w="1300"/>
        <w:gridCol w:w="1500"/>
        <w:gridCol w:w="1700"/>
        <w:gridCol w:w="1500"/>
        <w:gridCol w:w="1884"/>
      </w:tblGrid>
      <w:tr>
        <w:trPr>
          <w:cantSplit/>
          <w:tblHeader/>
        </w:trPr>
        <w:tc>
          <w:tcPr>
            <w:tcW w:type="dxa" w:w="130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Checkpoint</w:t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Due</w:t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Still in the seat?</w:t>
            </w:r>
          </w:p>
        </w:tc>
        <w:tc>
          <w:tcPr>
            <w:tcW w:type="dxa" w:w="170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Manager satisfaction (1 to 5)</w:t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Early concerns?</w:t>
            </w:r>
          </w:p>
        </w:tc>
        <w:tc>
          <w:tcPr>
            <w:tcW w:type="dxa" w:w="1884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Did the Verdict flag what later mattered?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90 days</w:t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[Date]</w:t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8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180 days</w:t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[Date]</w:t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8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365 days</w:t>
            </w:r>
          </w:p>
        </w:tc>
        <w:tc>
          <w:tcPr>
            <w:tcW w:type="dxa" w:w="13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[Date]</w:t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  <w:tc>
          <w:tcPr>
            <w:tcW w:type="dxa" w:w="18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 w:line="160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/>
      </w:r>
    </w:p>
    <w:p>
      <w:pPr>
        <w:keepNext/>
        <w:spacing w:after="30" w:before="200" w:line="300"/>
      </w:pPr>
      <w:r>
        <w:rPr>
          <w:rFonts w:ascii="Plus Jakarta Sans" w:cs="Plus Jakarta Sans" w:eastAsia="Plus Jakarta Sans" w:hAnsi="Plus Jakarta Sans"/>
          <w:b/>
          <w:bCs/>
          <w:color w:val="265147"/>
          <w:spacing w:val="30"/>
          <w:sz w:val="15"/>
          <w:szCs w:val="15"/>
        </w:rPr>
        <w:t xml:space="preserve">§ 10</w:t>
      </w:r>
    </w:p>
    <w:p>
      <w:pPr>
        <w:pStyle w:val="Heading1"/>
        <w:keepNext/>
        <w:pBdr>
          <w:bottom w:val="single" w:color="D5E3DE" w:sz="4" w:space="6"/>
        </w:pBdr>
        <w:spacing w:after="100" w:before="0"/>
      </w:pPr>
      <w:r>
        <w:rPr>
          <w:rFonts w:ascii="Lora" w:cs="Lora" w:eastAsia="Lora" w:hAnsi="Lora"/>
          <w:color w:val="0E211B"/>
          <w:sz w:val="30"/>
          <w:szCs w:val="30"/>
        </w:rPr>
        <w:t xml:space="preserve">Use statement</w:t>
      </w:r>
    </w:p>
    <w:p>
      <w:pPr>
        <w:spacing w:after="120" w:before="0" w:line="300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>Structured hiring advisory for finance roles. Not a psychometric assessment. Does not predict performance. The decision, and its consequences, rest with the employer.</w:t>
      </w:r>
    </w:p>
    <w:sectPr>
      <w:footerReference w:type="default" r:id="rId6"/>
      <w:pgSz w:w="11906" w:h="16838" w:orient="portrait"/>
      <w:pgMar w:top="1361" w:right="1361" w:bottom="1361" w:left="1361" w:header="708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E3DE" w:sz="4" w:space="6"/>
      </w:pBdr>
      <w:spacing w:after="0" w:before="0" w:line="300"/>
    </w:pPr>
    <w:r>
      <w:rPr>
        <w:rFonts w:ascii="Plus Jakarta Sans" w:cs="Plus Jakarta Sans" w:eastAsia="Plus Jakarta Sans" w:hAnsi="Plus Jakarta Sans"/>
        <w:b/>
        <w:bCs/>
        <w:color w:val="1C3D35"/>
        <w:sz w:val="15"/>
        <w:szCs w:val="15"/>
      </w:rPr>
      <w:t xml:space="preserve">Calibre by Daftar</w:t>
    </w:r>
    <w:r>
      <w:rPr>
        <w:rFonts w:ascii="Plus Jakarta Sans" w:cs="Plus Jakarta Sans" w:eastAsia="Plus Jakarta Sans" w:hAnsi="Plus Jakarta Sans"/>
        <w:color w:val="596B66"/>
        <w:sz w:val="15"/>
        <w:szCs w:val="15"/>
      </w:rPr>
      <w:t xml:space="preserve">  ·  A product of Daftar Advisory · Amman  ·  Verdict memo template  ·  </w:t>
    </w:r>
    <w:r>
      <w:rPr>
        <w:rFonts w:ascii="Plus Jakarta Sans" w:cs="Plus Jakarta Sans" w:eastAsia="Plus Jakarta Sans" w:hAnsi="Plus Jakarta Sans"/>
        <w:color w:val="596B6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  <w:rPr>
        <w:color w:val="26514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lus Jakarta Sans" w:cs="Plus Jakarta Sans" w:eastAsia="Plus Jakarta Sans" w:hAnsi="Plus Jakarta Sans"/>
        <w:color w:val="394740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Lora" w:cs="Lora" w:eastAsia="Lora" w:hAnsi="Lora"/>
      <w:color w:val="0E211B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Plus Jakarta Sans" w:cs="Plus Jakarta Sans" w:eastAsia="Plus Jakarta Sans" w:hAnsi="Plus Jakarta Sans"/>
      <w:b/>
      <w:bCs/>
      <w:color w:val="1C3D35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Verdict memo template</dc:title>
  <dc:creator>Calibre by Daftar</dc:creator>
  <cp:lastModifiedBy>Un-named</cp:lastModifiedBy>
  <cp:revision>1</cp:revision>
  <dcterms:created xsi:type="dcterms:W3CDTF">2026-09-30T14:47:17.246Z</dcterms:created>
  <dcterms:modified xsi:type="dcterms:W3CDTF">2026-09-30T14:47:17.246Z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