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7F2EA"/>
  <w:body>
    <w:p>
      <w:pPr>
        <w:spacing w:after="200" w:before="2400"/>
      </w:pPr>
      <w:r>
        <w:rPr>
          <w:rFonts w:ascii="JetBrains Mono" w:cs="JetBrains Mono" w:eastAsia="JetBrains Mono" w:hAnsi="JetBrains Mono"/>
          <w:color w:val="C8A27A"/>
          <w:spacing w:val="40"/>
          <w:sz w:val="17"/>
          <w:szCs w:val="17"/>
        </w:rPr>
        <w:t xml:space="preserve">SCOPING AND DECISION RECORD</w:t>
      </w:r>
    </w:p>
    <w:p>
      <w:pPr>
        <w:pBdr>
          <w:top w:val="single" w:color="C8A27A" w:sz="4" w:space="6"/>
        </w:pBdr>
        <w:spacing w:after="200" w:before="200"/>
      </w:pPr>
    </w:p>
    <w:p>
      <w:pPr>
        <w:spacing w:after="0" w:before="200"/>
      </w:pPr>
      <w:r>
        <w:rPr>
          <w:rFonts w:ascii="Inter" w:cs="Inter" w:eastAsia="Inter" w:hAnsi="Inter"/>
          <w:color w:val="1F1F1F"/>
          <w:sz w:val="52"/>
          <w:szCs w:val="52"/>
        </w:rPr>
        <w:t xml:space="preserve">Calibre</w:t>
      </w:r>
    </w:p>
    <w:p>
      <w:pPr>
        <w:spacing w:after="300"/>
      </w:pPr>
      <w:r>
        <w:rPr>
          <w:rFonts w:ascii="Inter" w:cs="Inter" w:eastAsia="Inter" w:hAnsi="Inter"/>
          <w:i/>
          <w:iCs/>
          <w:color w:val="A8341F"/>
          <w:sz w:val="52"/>
          <w:szCs w:val="52"/>
        </w:rPr>
        <w:t xml:space="preserve">as a product</w:t>
      </w:r>
    </w:p>
    <w:p>
      <w:pPr>
        <w:spacing w:after="800"/>
      </w:pPr>
      <w:r>
        <w:rPr>
          <w:rFonts w:ascii="Cormorant Garamond" w:cs="Cormorant Garamond" w:eastAsia="Cormorant Garamond" w:hAnsi="Cormorant Garamond"/>
          <w:i/>
          <w:iCs/>
          <w:color w:val="6B6056"/>
          <w:sz w:val="23"/>
          <w:szCs w:val="23"/>
        </w:rPr>
        <w:t xml:space="preserve">The SaaS scoping concept and the alternatives without software, in one record. Built on the July 2026 feasibility study, pivot strategy, deep research assessment and business overview.</w:t>
      </w:r>
    </w:p>
    <w:p>
      <w:pPr>
        <w:pBdr>
          <w:top w:val="single" w:color="C8A27A" w:sz="4" w:space="6"/>
        </w:pBdr>
        <w:spacing w:after="200" w:before="200"/>
      </w:pPr>
    </w:p>
    <w:p>
      <w:pPr>
        <w:spacing w:after="60"/>
      </w:pPr>
      <w:r>
        <w:rPr>
          <w:rFonts w:ascii="Inter" w:cs="Inter" w:eastAsia="Inter" w:hAnsi="Inter"/>
          <w:color w:val="A8341F"/>
          <w:sz w:val="20"/>
          <w:szCs w:val="20"/>
        </w:rPr>
        <w:t xml:space="preserve">Prepared for Ahmad Al Hinaiti  ·  Founder, Daftar Advisory</w:t>
      </w:r>
    </w:p>
    <w:p>
      <w:pPr>
        <w:spacing w:after="60"/>
      </w:pPr>
      <w:r>
        <w:rPr>
          <w:rFonts w:ascii="Inter" w:cs="Inter" w:eastAsia="Inter" w:hAnsi="Inter"/>
          <w:color w:val="A8341F"/>
          <w:sz w:val="20"/>
          <w:szCs w:val="20"/>
        </w:rPr>
        <w:t xml:space="preserve">Scoping and decision record  ·  2 September 2026</w:t>
      </w:r>
    </w:p>
    <w:p>
      <w:pPr>
        <w:spacing w:after="60"/>
      </w:pPr>
      <w:r>
        <w:rPr>
          <w:rFonts w:ascii="Inter" w:cs="Inter" w:eastAsia="Inter" w:hAnsi="Inter"/>
          <w:color w:val="6B6056"/>
          <w:sz w:val="20"/>
          <w:szCs w:val="20"/>
        </w:rPr>
        <w:t xml:space="preserve">Internal  ·  Confidential  ·  Not for external distribution</w:t>
      </w:r>
    </w:p>
    <w:p>
      <w:r>
        <w:br w:type="page"/>
      </w:r>
    </w:p>
    <w:p>
      <w:pPr>
        <w:spacing w:after="80" w:before="1200"/>
      </w:pPr>
      <w:r>
        <w:rPr>
          <w:rFonts w:ascii="JetBrains Mono" w:cs="JetBrains Mono" w:eastAsia="JetBrains Mono" w:hAnsi="JetBrains Mono"/>
          <w:color w:val="C8A27A"/>
          <w:sz w:val="17"/>
          <w:szCs w:val="17"/>
        </w:rPr>
        <w:t xml:space="preserve">PART I</w:t>
      </w:r>
    </w:p>
    <w:p>
      <w:pPr>
        <w:spacing w:after="120"/>
      </w:pPr>
      <w:r>
        <w:rPr>
          <w:rFonts w:ascii="Inter" w:cs="Inter" w:eastAsia="Inter" w:hAnsi="Inter"/>
          <w:color w:val="1F1F1F"/>
          <w:sz w:val="44"/>
          <w:szCs w:val="44"/>
        </w:rPr>
        <w:t xml:space="preserve">Calibre as a SaaS</w:t>
      </w:r>
    </w:p>
    <w:p>
      <w:pPr>
        <w:spacing w:after="480"/>
      </w:pPr>
      <w:r>
        <w:rPr>
          <w:rFonts w:ascii="Cormorant Garamond" w:cs="Cormorant Garamond" w:eastAsia="Cormorant Garamond" w:hAnsi="Cormorant Garamond"/>
          <w:i/>
          <w:iCs/>
          <w:color w:val="6B6056"/>
          <w:sz w:val="23"/>
          <w:szCs w:val="23"/>
        </w:rPr>
        <w:t xml:space="preserve">Problem, core loop, MVP, stack, build sequence, and the gates that come before any of it.</w:t>
      </w:r>
    </w:p>
    <w:p>
      <w:pPr>
        <w:spacing w:after="40" w:before="360"/>
      </w:pPr>
      <w:r>
        <w:rPr>
          <w:rFonts w:ascii="JetBrains Mono" w:cs="JetBrains Mono" w:eastAsia="JetBrains Mono" w:hAnsi="JetBrains Mono"/>
          <w:color w:val="C8A27A"/>
          <w:sz w:val="17"/>
          <w:szCs w:val="17"/>
        </w:rPr>
        <w:t xml:space="preserve">00  —————</w:t>
      </w:r>
    </w:p>
    <w:p>
      <w:pPr>
        <w:pStyle w:val="Heading1"/>
        <w:spacing w:after="120" w:before="0"/>
      </w:pPr>
      <w:r>
        <w:rPr>
          <w:rFonts w:ascii="Inter" w:cs="Inter" w:eastAsia="Inter" w:hAnsi="Inter"/>
          <w:b/>
          <w:bCs/>
          <w:color w:val="A8341F"/>
          <w:sz w:val="28"/>
          <w:szCs w:val="28"/>
        </w:rPr>
        <w:t xml:space="preserve">Where Calibre stands today</w:t>
      </w:r>
    </w:p>
    <w:p>
      <w:r>
        <w:rPr>
          <w:rFonts w:ascii="Cormorant Garamond" w:cs="Cormorant Garamond" w:eastAsia="Cormorant Garamond" w:hAnsi="Cormorant Garamond"/>
          <w:color w:val="1F1F1F"/>
          <w:sz w:val="21"/>
          <w:szCs w:val="21"/>
        </w:rPr>
        <w:t xml:space="preserve">Calibre by Daftar is a hiring decision method sold as a fixed fee service. The method is Read, Score, Compare, Calibrate. The buyable offer, per the Canonical House Strategy, is the </w:t>
      </w:r>
      <w:r>
        <w:rPr>
          <w:rFonts w:ascii="Cormorant Garamond" w:cs="Cormorant Garamond" w:eastAsia="Cormorant Garamond" w:hAnsi="Cormorant Garamond"/>
          <w:b/>
          <w:bCs/>
          <w:color w:val="1F1F1F"/>
          <w:sz w:val="21"/>
          <w:szCs w:val="21"/>
        </w:rPr>
        <w:t xml:space="preserve">Calibre Verdict</w:t>
      </w:r>
      <w:r>
        <w:rPr>
          <w:rFonts w:ascii="Cormorant Garamond" w:cs="Cormorant Garamond" w:eastAsia="Cormorant Garamond" w:hAnsi="Cormorant Garamond"/>
          <w:color w:val="1F1F1F"/>
          <w:sz w:val="21"/>
          <w:szCs w:val="21"/>
        </w:rPr>
        <w:t xml:space="preserve">: a done for you hiring decision memo for a finance role, written against a locked scorecard, for a defined shortlist. The label "hiring diagnostic" is retired.</w:t>
      </w:r>
    </w:p>
    <w:p>
      <w:r>
        <w:rPr>
          <w:rFonts w:ascii="Cormorant Garamond" w:cs="Cormorant Garamond" w:eastAsia="Cormorant Garamond" w:hAnsi="Cormorant Garamond"/>
          <w:color w:val="1F1F1F"/>
          <w:sz w:val="21"/>
          <w:szCs w:val="21"/>
        </w:rPr>
        <w:t xml:space="preserve">Facts that constrain any SaaS decision: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6782"/>
        <w:gridCol w:w="2290"/>
      </w:tblGrid>
      <w:tr>
        <w:trPr>
          <w:tblHeader/>
        </w:trPr>
        <w:tc>
          <w:tcPr>
            <w:tcW w:type="dxa" w:w="6782"/>
            <w:tcBorders>
              <w:top w:val="single" w:color="C8A27A" w:sz="4"/>
              <w:left w:val="none" w:color="FFFFFF" w:sz="0"/>
              <w:bottom w:val="single" w:color="C8A27A" w:sz="4"/>
              <w:right w:val="none" w:color="FFFFFF" w:sz="0"/>
            </w:tcBorders>
            <w:shd w:fill="1A1410" w:val="clear"/>
            <w:tcMar>
              <w:top w:type="dxa" w:w="90"/>
              <w:left w:type="dxa" w:w="110"/>
              <w:bottom w:type="dxa" w:w="90"/>
              <w:right w:type="dxa" w:w="110"/>
            </w:tcMar>
          </w:tcPr>
          <w:p>
            <w:pPr>
              <w:spacing w:after="0" w:line="276"/>
              <w:jc w:val="left"/>
            </w:pPr>
            <w:r>
              <w:rPr>
                <w:rFonts w:ascii="Inter" w:cs="Inter" w:eastAsia="Inter" w:hAnsi="Inter"/>
                <w:b/>
                <w:bCs/>
                <w:color w:val="FFFFFF"/>
                <w:sz w:val="18"/>
                <w:szCs w:val="18"/>
              </w:rPr>
              <w:t xml:space="preserve">Fact</w:t>
            </w:r>
          </w:p>
        </w:tc>
        <w:tc>
          <w:tcPr>
            <w:tcW w:type="dxa" w:w="2290"/>
            <w:tcBorders>
              <w:top w:val="single" w:color="C8A27A" w:sz="4"/>
              <w:left w:val="none" w:color="FFFFFF" w:sz="0"/>
              <w:bottom w:val="single" w:color="C8A27A" w:sz="4"/>
              <w:right w:val="none" w:color="FFFFFF" w:sz="0"/>
            </w:tcBorders>
            <w:shd w:fill="1A1410" w:val="clear"/>
            <w:tcMar>
              <w:top w:type="dxa" w:w="90"/>
              <w:left w:type="dxa" w:w="110"/>
              <w:bottom w:type="dxa" w:w="90"/>
              <w:right w:type="dxa" w:w="110"/>
            </w:tcMar>
          </w:tcPr>
          <w:p>
            <w:pPr>
              <w:spacing w:after="0" w:line="276"/>
              <w:jc w:val="left"/>
            </w:pPr>
            <w:r>
              <w:rPr>
                <w:rFonts w:ascii="Inter" w:cs="Inter" w:eastAsia="Inter" w:hAnsi="Inter"/>
                <w:b/>
                <w:bCs/>
                <w:color w:val="FFFFFF"/>
                <w:sz w:val="18"/>
                <w:szCs w:val="18"/>
              </w:rPr>
              <w:t xml:space="preserve">Source</w:t>
            </w:r>
          </w:p>
        </w:tc>
      </w:tr>
      <w:tr>
        <w:tc>
          <w:tcPr>
            <w:tcW w:type="dxa" w:w="6782"/>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Calibre is pre-revenue. No paid pilot has run.</w:t>
            </w:r>
          </w:p>
        </w:tc>
        <w:tc>
          <w:tcPr>
            <w:tcW w:type="dxa" w:w="2290"/>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Feasibility study, Business overview</w:t>
            </w:r>
          </w:p>
        </w:tc>
      </w:tr>
      <w:tr>
        <w:tc>
          <w:tcPr>
            <w:tcW w:type="dxa" w:w="6782"/>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Founder capacity for the side practice is 8 to 12 hours per week, asynchronous only.</w:t>
            </w:r>
          </w:p>
        </w:tc>
        <w:tc>
          <w:tcPr>
            <w:tcW w:type="dxa" w:w="2290"/>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Pivot strategy</w:t>
            </w:r>
          </w:p>
        </w:tc>
      </w:tr>
      <w:tr>
        <w:tc>
          <w:tcPr>
            <w:tcW w:type="dxa" w:w="6782"/>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KSA delivery is frozen while the founder is employed there. Conflict free markets are Jordan, UAE, non GCC.</w:t>
            </w:r>
          </w:p>
        </w:tc>
        <w:tc>
          <w:tcPr>
            <w:tcW w:type="dxa" w:w="2290"/>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Pivot strategy</w:t>
            </w:r>
          </w:p>
        </w:tc>
      </w:tr>
      <w:tr>
        <w:tc>
          <w:tcPr>
            <w:tcW w:type="dxa" w:w="6782"/>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Cash posture is "generate, don't invest". A software build was named as the wrong spend for this period.</w:t>
            </w:r>
          </w:p>
        </w:tc>
        <w:tc>
          <w:tcPr>
            <w:tcW w:type="dxa" w:w="2290"/>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Pivot strategy, section 02</w:t>
            </w:r>
          </w:p>
        </w:tc>
      </w:tr>
      <w:tr>
        <w:tc>
          <w:tcPr>
            <w:tcW w:type="dxa" w:w="6782"/>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The assessment says: do not build software, dashboards, per candidate licensing, or ATS integration around an unvalidated method.</w:t>
            </w:r>
          </w:p>
        </w:tc>
        <w:tc>
          <w:tcPr>
            <w:tcW w:type="dxa" w:w="2290"/>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Deep Research, "Activities that must not begin yet"</w:t>
            </w:r>
          </w:p>
        </w:tc>
      </w:tr>
      <w:tr>
        <w:tc>
          <w:tcPr>
            <w:tcW w:type="dxa" w:w="6782"/>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Kill criterion: fewer than 3 paid Verdicts within 12 months of launch ends standalone Calibre marketing.</w:t>
            </w:r>
          </w:p>
        </w:tc>
        <w:tc>
          <w:tcPr>
            <w:tcW w:type="dxa" w:w="2290"/>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Pivot strategy, section 09</w:t>
            </w:r>
          </w:p>
        </w:tc>
      </w:tr>
      <w:tr>
        <w:tc>
          <w:tcPr>
            <w:tcW w:type="dxa" w:w="6782"/>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Calibre's strategic job is to be the one line whose delivery can be separated from the founder's hands: templated, licensed, or run by a second person.</w:t>
            </w:r>
          </w:p>
        </w:tc>
        <w:tc>
          <w:tcPr>
            <w:tcW w:type="dxa" w:w="2290"/>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Business overview, section 04</w:t>
            </w:r>
          </w:p>
        </w:tc>
      </w:tr>
    </w:tbl>
    <w:p>
      <w:pPr>
        <w:spacing w:after="120"/>
      </w:pPr>
    </w:p>
    <w:p>
      <w:r>
        <w:rPr>
          <w:rFonts w:ascii="Cormorant Garamond" w:cs="Cormorant Garamond" w:eastAsia="Cormorant Garamond" w:hAnsi="Cormorant Garamond"/>
          <w:color w:val="1F1F1F"/>
          <w:sz w:val="21"/>
          <w:szCs w:val="21"/>
        </w:rPr>
        <w:t xml:space="preserve">The last row is the only reason a SaaS is on the table at all. Software is the "template or licence" path made concrete. The rows above it are the reasons it is not on the table yet.</w:t>
      </w:r>
    </w:p>
    <w:p>
      <w:pPr>
        <w:spacing w:after="40" w:before="360"/>
      </w:pPr>
      <w:r>
        <w:rPr>
          <w:rFonts w:ascii="JetBrains Mono" w:cs="JetBrains Mono" w:eastAsia="JetBrains Mono" w:hAnsi="JetBrains Mono"/>
          <w:color w:val="C8A27A"/>
          <w:sz w:val="17"/>
          <w:szCs w:val="17"/>
        </w:rPr>
        <w:t xml:space="preserve">01  —————</w:t>
      </w:r>
    </w:p>
    <w:p>
      <w:pPr>
        <w:pStyle w:val="Heading1"/>
        <w:spacing w:after="120" w:before="0"/>
      </w:pPr>
      <w:r>
        <w:rPr>
          <w:rFonts w:ascii="Inter" w:cs="Inter" w:eastAsia="Inter" w:hAnsi="Inter"/>
          <w:b/>
          <w:bCs/>
          <w:color w:val="A8341F"/>
          <w:sz w:val="28"/>
          <w:szCs w:val="28"/>
        </w:rPr>
        <w:t xml:space="preserve">Pushback</w:t>
      </w:r>
    </w:p>
    <w:p>
      <w:pPr>
        <w:pStyle w:val="Heading2"/>
        <w:spacing w:after="80" w:before="280"/>
      </w:pPr>
      <w:r>
        <w:rPr>
          <w:rFonts w:ascii="Inter" w:cs="Inter" w:eastAsia="Inter" w:hAnsi="Inter"/>
          <w:b/>
          <w:bCs/>
          <w:color w:val="A8341F"/>
          <w:sz w:val="24"/>
          <w:szCs w:val="24"/>
        </w:rPr>
        <w:t xml:space="preserve">The idea as pitched contradicts your own strategy</w:t>
      </w:r>
    </w:p>
    <w:p>
      <w:r>
        <w:rPr>
          <w:rFonts w:ascii="Cormorant Garamond" w:cs="Cormorant Garamond" w:eastAsia="Cormorant Garamond" w:hAnsi="Cormorant Garamond"/>
          <w:color w:val="1F1F1F"/>
          <w:sz w:val="21"/>
          <w:szCs w:val="21"/>
        </w:rPr>
        <w:t xml:space="preserve">Three documents you commissioned in July say the same thing: prove the method with paid, human delivered Verdicts before spending on software. As of today there are zero paid Verdicts. Building a SaaS now is spending against a guess, which is exactly the failure the feasibility study warned about.</w:t>
      </w:r>
    </w:p>
    <w:p>
      <w:r>
        <w:rPr>
          <w:rFonts w:ascii="Cormorant Garamond" w:cs="Cormorant Garamond" w:eastAsia="Cormorant Garamond" w:hAnsi="Cormorant Garamond"/>
          <w:color w:val="1F1F1F"/>
          <w:sz w:val="21"/>
          <w:szCs w:val="21"/>
        </w:rPr>
        <w:t xml:space="preserve">The resolution is not "don't build". It is to change what the software is for. </w:t>
      </w:r>
      <w:r>
        <w:rPr>
          <w:rFonts w:ascii="Cormorant Garamond" w:cs="Cormorant Garamond" w:eastAsia="Cormorant Garamond" w:hAnsi="Cormorant Garamond"/>
          <w:b/>
          <w:bCs/>
          <w:color w:val="1F1F1F"/>
          <w:sz w:val="21"/>
          <w:szCs w:val="21"/>
        </w:rPr>
        <w:t xml:space="preserve">The MVP is not a product sold to strangers. It is the instrument that runs a Verdict</w:t>
      </w:r>
      <w:r>
        <w:rPr>
          <w:rFonts w:ascii="Cormorant Garamond" w:cs="Cormorant Garamond" w:eastAsia="Cormorant Garamond" w:hAnsi="Cormorant Garamond"/>
          <w:color w:val="1F1F1F"/>
          <w:sz w:val="21"/>
          <w:szCs w:val="21"/>
        </w:rPr>
        <w:t xml:space="preserve">, used first by you with paying clients, so every paid engagement doubles as a product test. That keeps you inside the Attach, Prove, Separate sequence. It also means the first three Verdicts should be run on a spreadsheet and a Word memo before a single line of app code exists. If the spreadsheet version cannot sell, the app will not either.</w:t>
      </w:r>
    </w:p>
    <w:p>
      <w:pPr>
        <w:pStyle w:val="Heading2"/>
        <w:spacing w:after="80" w:before="280"/>
      </w:pPr>
      <w:r>
        <w:rPr>
          <w:rFonts w:ascii="Inter" w:cs="Inter" w:eastAsia="Inter" w:hAnsi="Inter"/>
          <w:b/>
          <w:bCs/>
          <w:color w:val="A8341F"/>
          <w:sz w:val="24"/>
          <w:szCs w:val="24"/>
        </w:rPr>
        <w:t xml:space="preserve">The target user is vague on the live site</w:t>
      </w:r>
    </w:p>
    <w:p>
      <w:r>
        <w:rPr>
          <w:rFonts w:ascii="Cormorant Garamond" w:cs="Cormorant Garamond" w:eastAsia="Cormorant Garamond" w:hAnsi="Cormorant Garamond"/>
          <w:color w:val="1F1F1F"/>
          <w:sz w:val="21"/>
          <w:szCs w:val="21"/>
        </w:rPr>
        <w:t xml:space="preserve">The live site names four personas: HR leaders, talent teams, hiring managers, founders. That is every hiring buyer in every function. The Deep Research assessment is blunt that the founder's authority is in finance, and that a broad talent positioning is the weakest evidence area and the most crowded market (Korn Ferry, SHL, Mercer, Evalufy).</w:t>
      </w:r>
    </w:p>
    <w:p>
      <w:r>
        <w:rPr>
          <w:rFonts w:ascii="Cormorant Garamond" w:cs="Cormorant Garamond" w:eastAsia="Cormorant Garamond" w:hAnsi="Cormorant Garamond"/>
          <w:color w:val="1F1F1F"/>
          <w:sz w:val="21"/>
          <w:szCs w:val="21"/>
        </w:rPr>
        <w:t xml:space="preserve">For a SaaS this matters more than for a service, because software cannot borrow your credibility in the room. The target user has to be one person with one job:</w:t>
      </w:r>
    </w:p>
    <w:p>
      <w:pPr>
        <w:pBdr>
          <w:left w:val="single" w:color="A8341F" w:sz="18" w:space="12"/>
        </w:pBdr>
        <w:shd w:fill="F9EDEA" w:val="clear"/>
        <w:spacing w:after="240" w:before="160" w:line="312"/>
        <w:ind w:left="200"/>
      </w:pPr>
      <w:r>
        <w:rPr>
          <w:rFonts w:ascii="Cormorant Garamond" w:cs="Cormorant Garamond" w:eastAsia="Cormorant Garamond" w:hAnsi="Cormorant Garamond"/>
          <w:i/>
          <w:iCs/>
          <w:color w:val="1F1F1F"/>
          <w:sz w:val="23"/>
          <w:szCs w:val="23"/>
        </w:rPr>
        <w:t xml:space="preserve">The CFO, finance director, or founder who is about to choose between two to five finalists for a finance seat.</w:t>
      </w:r>
    </w:p>
    <w:p>
      <w:r>
        <w:rPr>
          <w:rFonts w:ascii="Cormorant Garamond" w:cs="Cormorant Garamond" w:eastAsia="Cormorant Garamond" w:hAnsi="Cormorant Garamond"/>
          <w:color w:val="1F1F1F"/>
          <w:sz w:val="21"/>
          <w:szCs w:val="21"/>
        </w:rPr>
        <w:t xml:space="preserve">Everything else, including HR as a user, is deferred until finance role decisions are logged and referenceable.</w:t>
      </w:r>
    </w:p>
    <w:p>
      <w:pPr>
        <w:pStyle w:val="Heading2"/>
        <w:spacing w:after="80" w:before="280"/>
      </w:pPr>
      <w:r>
        <w:rPr>
          <w:rFonts w:ascii="Inter" w:cs="Inter" w:eastAsia="Inter" w:hAnsi="Inter"/>
          <w:b/>
          <w:bCs/>
          <w:color w:val="A8341F"/>
          <w:sz w:val="24"/>
          <w:szCs w:val="24"/>
        </w:rPr>
        <w:t xml:space="preserve">Scope creep already visible in the material</w:t>
      </w:r>
    </w:p>
    <w:p>
      <w:r>
        <w:rPr>
          <w:rFonts w:ascii="Cormorant Garamond" w:cs="Cormorant Garamond" w:eastAsia="Cormorant Garamond" w:hAnsi="Cormorant Garamond"/>
          <w:color w:val="1F1F1F"/>
          <w:sz w:val="21"/>
          <w:szCs w:val="21"/>
        </w:rPr>
        <w:t xml:space="preserve">The following items appear in the site, deck, or earlier strategy and are cut or deferred here: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30"/>
        <w:gridCol w:w="858"/>
        <w:gridCol w:w="5984"/>
      </w:tblGrid>
      <w:tr>
        <w:trPr>
          <w:tblHeader/>
        </w:trPr>
        <w:tc>
          <w:tcPr>
            <w:tcW w:type="dxa" w:w="2230"/>
            <w:tcBorders>
              <w:top w:val="single" w:color="C8A27A" w:sz="4"/>
              <w:left w:val="none" w:color="FFFFFF" w:sz="0"/>
              <w:bottom w:val="single" w:color="C8A27A" w:sz="4"/>
              <w:right w:val="none" w:color="FFFFFF" w:sz="0"/>
            </w:tcBorders>
            <w:shd w:fill="1A1410" w:val="clear"/>
            <w:tcMar>
              <w:top w:type="dxa" w:w="90"/>
              <w:left w:type="dxa" w:w="110"/>
              <w:bottom w:type="dxa" w:w="90"/>
              <w:right w:type="dxa" w:w="110"/>
            </w:tcMar>
          </w:tcPr>
          <w:p>
            <w:pPr>
              <w:spacing w:after="0" w:line="276"/>
              <w:jc w:val="left"/>
            </w:pPr>
            <w:r>
              <w:rPr>
                <w:rFonts w:ascii="Inter" w:cs="Inter" w:eastAsia="Inter" w:hAnsi="Inter"/>
                <w:b/>
                <w:bCs/>
                <w:color w:val="FFFFFF"/>
                <w:sz w:val="18"/>
                <w:szCs w:val="18"/>
              </w:rPr>
              <w:t xml:space="preserve">Item</w:t>
            </w:r>
          </w:p>
        </w:tc>
        <w:tc>
          <w:tcPr>
            <w:tcW w:type="dxa" w:w="858"/>
            <w:tcBorders>
              <w:top w:val="single" w:color="C8A27A" w:sz="4"/>
              <w:left w:val="none" w:color="FFFFFF" w:sz="0"/>
              <w:bottom w:val="single" w:color="C8A27A" w:sz="4"/>
              <w:right w:val="none" w:color="FFFFFF" w:sz="0"/>
            </w:tcBorders>
            <w:shd w:fill="1A1410" w:val="clear"/>
            <w:tcMar>
              <w:top w:type="dxa" w:w="90"/>
              <w:left w:type="dxa" w:w="110"/>
              <w:bottom w:type="dxa" w:w="90"/>
              <w:right w:type="dxa" w:w="110"/>
            </w:tcMar>
          </w:tcPr>
          <w:p>
            <w:pPr>
              <w:spacing w:after="0" w:line="276"/>
              <w:jc w:val="left"/>
            </w:pPr>
            <w:r>
              <w:rPr>
                <w:rFonts w:ascii="Inter" w:cs="Inter" w:eastAsia="Inter" w:hAnsi="Inter"/>
                <w:b/>
                <w:bCs/>
                <w:color w:val="FFFFFF"/>
                <w:sz w:val="18"/>
                <w:szCs w:val="18"/>
              </w:rPr>
              <w:t xml:space="preserve">Verdict</w:t>
            </w:r>
          </w:p>
        </w:tc>
        <w:tc>
          <w:tcPr>
            <w:tcW w:type="dxa" w:w="5984"/>
            <w:tcBorders>
              <w:top w:val="single" w:color="C8A27A" w:sz="4"/>
              <w:left w:val="none" w:color="FFFFFF" w:sz="0"/>
              <w:bottom w:val="single" w:color="C8A27A" w:sz="4"/>
              <w:right w:val="none" w:color="FFFFFF" w:sz="0"/>
            </w:tcBorders>
            <w:shd w:fill="1A1410" w:val="clear"/>
            <w:tcMar>
              <w:top w:type="dxa" w:w="90"/>
              <w:left w:type="dxa" w:w="110"/>
              <w:bottom w:type="dxa" w:w="90"/>
              <w:right w:type="dxa" w:w="110"/>
            </w:tcMar>
          </w:tcPr>
          <w:p>
            <w:pPr>
              <w:spacing w:after="0" w:line="276"/>
              <w:jc w:val="left"/>
            </w:pPr>
            <w:r>
              <w:rPr>
                <w:rFonts w:ascii="Inter" w:cs="Inter" w:eastAsia="Inter" w:hAnsi="Inter"/>
                <w:b/>
                <w:bCs/>
                <w:color w:val="FFFFFF"/>
                <w:sz w:val="18"/>
                <w:szCs w:val="18"/>
              </w:rPr>
              <w:t xml:space="preserve">Why</w:t>
            </w:r>
          </w:p>
        </w:tc>
      </w:tr>
      <w:tr>
        <w:tc>
          <w:tcPr>
            <w:tcW w:type="dxa" w:w="2230"/>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Work style or "fit" instrument</w:t>
            </w:r>
          </w:p>
        </w:tc>
        <w:tc>
          <w:tcPr>
            <w:tcW w:type="dxa" w:w="858"/>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Removed</w:t>
            </w:r>
          </w:p>
        </w:tc>
        <w:tc>
          <w:tcPr>
            <w:tcW w:type="dxa" w:w="5984"/>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No construct map, no reliability or fairness evidence. Would make the product look like amateur psychometrics.</w:t>
            </w:r>
          </w:p>
        </w:tc>
      </w:tr>
      <w:tr>
        <w:tc>
          <w:tcPr>
            <w:tcW w:type="dxa" w:w="2230"/>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Benchmark dataset across clients</w:t>
            </w:r>
          </w:p>
        </w:tc>
        <w:tc>
          <w:tcPr>
            <w:tcW w:type="dxa" w:w="858"/>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Deferred</w:t>
            </w:r>
          </w:p>
        </w:tc>
        <w:tc>
          <w:tcPr>
            <w:tcW w:type="dxa" w:w="5984"/>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Meaningless at solo volume. Keep the outcome register discipline only.</w:t>
            </w:r>
          </w:p>
        </w:tc>
      </w:tr>
      <w:tr>
        <w:tc>
          <w:tcPr>
            <w:tcW w:type="dxa" w:w="2230"/>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Interview question bank generator</w:t>
            </w:r>
          </w:p>
        </w:tc>
        <w:tc>
          <w:tcPr>
            <w:tcW w:type="dxa" w:w="858"/>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Deferred</w:t>
            </w:r>
          </w:p>
        </w:tc>
        <w:tc>
          <w:tcPr>
            <w:tcW w:type="dxa" w:w="5984"/>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A static PDF per role template does the job at zero build cost.</w:t>
            </w:r>
          </w:p>
        </w:tc>
      </w:tr>
      <w:tr>
        <w:tc>
          <w:tcPr>
            <w:tcW w:type="dxa" w:w="2230"/>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Recruiter or agency channel</w:t>
            </w:r>
          </w:p>
        </w:tc>
        <w:tc>
          <w:tcPr>
            <w:tcW w:type="dxa" w:w="858"/>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Deferred</w:t>
            </w:r>
          </w:p>
        </w:tc>
        <w:tc>
          <w:tcPr>
            <w:tcW w:type="dxa" w:w="5984"/>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Named trigger: ten documented paid decisions with outcomes.</w:t>
            </w:r>
          </w:p>
        </w:tc>
      </w:tr>
      <w:tr>
        <w:tc>
          <w:tcPr>
            <w:tcW w:type="dxa" w:w="2230"/>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Any candidate facing assessment or portal</w:t>
            </w:r>
          </w:p>
        </w:tc>
        <w:tc>
          <w:tcPr>
            <w:tcW w:type="dxa" w:w="858"/>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Out</w:t>
            </w:r>
          </w:p>
        </w:tc>
        <w:tc>
          <w:tcPr>
            <w:tcW w:type="dxa" w:w="5984"/>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Triggers PDPL, GDPR Article 22, accessibility and accommodation duties you cannot yet staff.</w:t>
            </w:r>
          </w:p>
        </w:tc>
      </w:tr>
      <w:tr>
        <w:tc>
          <w:tcPr>
            <w:tcW w:type="dxa" w:w="2230"/>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AI scoring, ranking, or recommendation</w:t>
            </w:r>
          </w:p>
        </w:tc>
        <w:tc>
          <w:tcPr>
            <w:tcW w:type="dxa" w:w="858"/>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Out</w:t>
            </w:r>
          </w:p>
        </w:tc>
        <w:tc>
          <w:tcPr>
            <w:tcW w:type="dxa" w:w="5984"/>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Recruitment AI is high risk under the EU AI Act and the assessment forbids automated ranking.</w:t>
            </w:r>
          </w:p>
        </w:tc>
      </w:tr>
      <w:tr>
        <w:tc>
          <w:tcPr>
            <w:tcW w:type="dxa" w:w="2230"/>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ATS integration, job posting, sourcing</w:t>
            </w:r>
          </w:p>
        </w:tc>
        <w:tc>
          <w:tcPr>
            <w:tcW w:type="dxa" w:w="858"/>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Out</w:t>
            </w:r>
          </w:p>
        </w:tc>
        <w:tc>
          <w:tcPr>
            <w:tcW w:type="dxa" w:w="5984"/>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"Not another ATS" is a stated differentiator. Keep it true.</w:t>
            </w:r>
          </w:p>
        </w:tc>
      </w:tr>
      <w:tr>
        <w:tc>
          <w:tcPr>
            <w:tcW w:type="dxa" w:w="2230"/>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Dashboards and analytics</w:t>
            </w:r>
          </w:p>
        </w:tc>
        <w:tc>
          <w:tcPr>
            <w:tcW w:type="dxa" w:w="858"/>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Cut</w:t>
            </w:r>
          </w:p>
        </w:tc>
        <w:tc>
          <w:tcPr>
            <w:tcW w:type="dxa" w:w="5984"/>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Nothing to analyse until there are decisions.</w:t>
            </w:r>
          </w:p>
        </w:tc>
      </w:tr>
      <w:tr>
        <w:tc>
          <w:tcPr>
            <w:tcW w:type="dxa" w:w="2230"/>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Arabic interface</w:t>
            </w:r>
          </w:p>
        </w:tc>
        <w:tc>
          <w:tcPr>
            <w:tcW w:type="dxa" w:w="858"/>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Deferred</w:t>
            </w:r>
          </w:p>
        </w:tc>
        <w:tc>
          <w:tcPr>
            <w:tcW w:type="dxa" w:w="5984"/>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Buyers for the first decisions read English. Revisit at the Separate stage.</w:t>
            </w:r>
          </w:p>
        </w:tc>
      </w:tr>
    </w:tbl>
    <w:p>
      <w:pPr>
        <w:spacing w:after="120"/>
      </w:pPr>
    </w:p>
    <w:p>
      <w:pPr>
        <w:spacing w:after="40" w:before="360"/>
      </w:pPr>
      <w:r>
        <w:rPr>
          <w:rFonts w:ascii="JetBrains Mono" w:cs="JetBrains Mono" w:eastAsia="JetBrains Mono" w:hAnsi="JetBrains Mono"/>
          <w:color w:val="C8A27A"/>
          <w:sz w:val="17"/>
          <w:szCs w:val="17"/>
        </w:rPr>
        <w:t xml:space="preserve">02  —————</w:t>
      </w:r>
    </w:p>
    <w:p>
      <w:pPr>
        <w:pStyle w:val="Heading1"/>
        <w:spacing w:after="120" w:before="0"/>
      </w:pPr>
      <w:r>
        <w:rPr>
          <w:rFonts w:ascii="Inter" w:cs="Inter" w:eastAsia="Inter" w:hAnsi="Inter"/>
          <w:b/>
          <w:bCs/>
          <w:color w:val="A8341F"/>
          <w:sz w:val="28"/>
          <w:szCs w:val="28"/>
        </w:rPr>
        <w:t xml:space="preserve">Problem statement</w:t>
      </w:r>
    </w:p>
    <w:p>
      <w:pPr>
        <w:pBdr>
          <w:left w:val="single" w:color="A8341F" w:sz="18" w:space="12"/>
        </w:pBdr>
        <w:shd w:fill="F9EDEA" w:val="clear"/>
        <w:spacing w:after="240" w:before="160" w:line="312"/>
        <w:ind w:left="200"/>
      </w:pPr>
      <w:r>
        <w:rPr>
          <w:rFonts w:ascii="Cormorant Garamond" w:cs="Cormorant Garamond" w:eastAsia="Cormorant Garamond" w:hAnsi="Cormorant Garamond"/>
          <w:i/>
          <w:iCs/>
          <w:color w:val="1F1F1F"/>
          <w:sz w:val="23"/>
          <w:szCs w:val="23"/>
        </w:rPr>
        <w:t xml:space="preserve">When a finance leader chooses between shortlisted finalists, two capable reviewers reading the same candidate reach different verdicts, and nobody can show afterwards why the decision was made.</w:t>
      </w:r>
    </w:p>
    <w:p>
      <w:pPr>
        <w:spacing w:after="40" w:before="360"/>
      </w:pPr>
      <w:r>
        <w:rPr>
          <w:rFonts w:ascii="JetBrains Mono" w:cs="JetBrains Mono" w:eastAsia="JetBrains Mono" w:hAnsi="JetBrains Mono"/>
          <w:color w:val="C8A27A"/>
          <w:sz w:val="17"/>
          <w:szCs w:val="17"/>
        </w:rPr>
        <w:t xml:space="preserve">03  —————</w:t>
      </w:r>
    </w:p>
    <w:p>
      <w:pPr>
        <w:pStyle w:val="Heading1"/>
        <w:spacing w:after="120" w:before="0"/>
      </w:pPr>
      <w:r>
        <w:rPr>
          <w:rFonts w:ascii="Inter" w:cs="Inter" w:eastAsia="Inter" w:hAnsi="Inter"/>
          <w:b/>
          <w:bCs/>
          <w:color w:val="A8341F"/>
          <w:sz w:val="28"/>
          <w:szCs w:val="28"/>
        </w:rPr>
        <w:t xml:space="preserve">The core user loop</w:t>
      </w:r>
    </w:p>
    <w:p>
      <w:r>
        <w:rPr>
          <w:rFonts w:ascii="Cormorant Garamond" w:cs="Cormorant Garamond" w:eastAsia="Cormorant Garamond" w:hAnsi="Cormorant Garamond"/>
          <w:color w:val="1F1F1F"/>
          <w:sz w:val="21"/>
          <w:szCs w:val="21"/>
        </w:rPr>
        <w:t xml:space="preserve">The thing a user does repeatedly is </w:t>
      </w:r>
      <w:r>
        <w:rPr>
          <w:rFonts w:ascii="Cormorant Garamond" w:cs="Cormorant Garamond" w:eastAsia="Cormorant Garamond" w:hAnsi="Cormorant Garamond"/>
          <w:b/>
          <w:bCs/>
          <w:color w:val="1F1F1F"/>
          <w:sz w:val="21"/>
          <w:szCs w:val="21"/>
        </w:rPr>
        <w:t xml:space="preserve">score a finalist against a locked rubric, see exactly where they diverge from a colleague, and resolve the divergence with written evidence.</w:t>
      </w:r>
    </w:p>
    <w:p>
      <w:r>
        <w:rPr>
          <w:rFonts w:ascii="Cormorant Garamond" w:cs="Cormorant Garamond" w:eastAsia="Cormorant Garamond" w:hAnsi="Cormorant Garamond"/>
          <w:color w:val="1F1F1F"/>
          <w:sz w:val="21"/>
          <w:szCs w:val="21"/>
        </w:rPr>
        <w:t xml:space="preserve">One full cycle, per role:</w:t>
      </w:r>
    </w:p>
    <w:p>
      <w:pPr>
        <w:spacing w:after="100"/>
        <w:ind w:left="540" w:hanging="540"/>
      </w:pPr>
      <w:r>
        <w:rPr>
          <w:rFonts w:ascii="JetBrains Mono" w:cs="JetBrains Mono" w:eastAsia="JetBrains Mono" w:hAnsi="JetBrains Mono"/>
          <w:color w:val="A8341F"/>
          <w:sz w:val="18"/>
          <w:szCs w:val="18"/>
        </w:rPr>
        <w:t xml:space="preserve">01	</w:t>
      </w:r>
      <w:r>
        <w:rPr>
          <w:rFonts w:ascii="Cormorant Garamond" w:cs="Cormorant Garamond" w:eastAsia="Cormorant Garamond" w:hAnsi="Cormorant Garamond"/>
          <w:b/>
          <w:bCs/>
          <w:color w:val="1F1F1F"/>
          <w:sz w:val="21"/>
          <w:szCs w:val="21"/>
        </w:rPr>
        <w:t xml:space="preserve">Lock the role.</w:t>
      </w:r>
      <w:r>
        <w:rPr>
          <w:rFonts w:ascii="Cormorant Garamond" w:cs="Cormorant Garamond" w:eastAsia="Cormorant Garamond" w:hAnsi="Cormorant Garamond"/>
          <w:color w:val="1F1F1F"/>
          <w:sz w:val="21"/>
          <w:szCs w:val="21"/>
        </w:rPr>
        <w:t xml:space="preserve"> The hiring lead writes the role brief and a weighted rubric of four to seven criteria with anchored descriptors. The rubric is frozen with a timestamp before any candidate is entered. Later edits are versioned amendments with a written reason.</w:t>
      </w:r>
    </w:p>
    <w:p>
      <w:pPr>
        <w:spacing w:after="100"/>
        <w:ind w:left="540" w:hanging="540"/>
      </w:pPr>
      <w:r>
        <w:rPr>
          <w:rFonts w:ascii="JetBrains Mono" w:cs="JetBrains Mono" w:eastAsia="JetBrains Mono" w:hAnsi="JetBrains Mono"/>
          <w:color w:val="A8341F"/>
          <w:sz w:val="18"/>
          <w:szCs w:val="18"/>
        </w:rPr>
        <w:t xml:space="preserve">02	</w:t>
      </w:r>
      <w:r>
        <w:rPr>
          <w:rFonts w:ascii="Cormorant Garamond" w:cs="Cormorant Garamond" w:eastAsia="Cormorant Garamond" w:hAnsi="Cormorant Garamond"/>
          <w:b/>
          <w:bCs/>
          <w:color w:val="1F1F1F"/>
          <w:sz w:val="21"/>
          <w:szCs w:val="21"/>
        </w:rPr>
        <w:t xml:space="preserve">Enter finalists.</w:t>
      </w:r>
      <w:r>
        <w:rPr>
          <w:rFonts w:ascii="Cormorant Garamond" w:cs="Cormorant Garamond" w:eastAsia="Cormorant Garamond" w:hAnsi="Cormorant Garamond"/>
          <w:color w:val="1F1F1F"/>
          <w:sz w:val="21"/>
          <w:szCs w:val="21"/>
        </w:rPr>
        <w:t xml:space="preserve"> Two to six named finalists. Optional CV upload. No pipeline, no sourcing.</w:t>
      </w:r>
    </w:p>
    <w:p>
      <w:pPr>
        <w:spacing w:after="100"/>
        <w:ind w:left="540" w:hanging="540"/>
      </w:pPr>
      <w:r>
        <w:rPr>
          <w:rFonts w:ascii="JetBrains Mono" w:cs="JetBrains Mono" w:eastAsia="JetBrains Mono" w:hAnsi="JetBrains Mono"/>
          <w:color w:val="A8341F"/>
          <w:sz w:val="18"/>
          <w:szCs w:val="18"/>
        </w:rPr>
        <w:t xml:space="preserve">03	</w:t>
      </w:r>
      <w:r>
        <w:rPr>
          <w:rFonts w:ascii="Cormorant Garamond" w:cs="Cormorant Garamond" w:eastAsia="Cormorant Garamond" w:hAnsi="Cormorant Garamond"/>
          <w:b/>
          <w:bCs/>
          <w:color w:val="1F1F1F"/>
          <w:sz w:val="21"/>
          <w:szCs w:val="21"/>
        </w:rPr>
        <w:t xml:space="preserve">Score blind.</w:t>
      </w:r>
      <w:r>
        <w:rPr>
          <w:rFonts w:ascii="Cormorant Garamond" w:cs="Cormorant Garamond" w:eastAsia="Cormorant Garamond" w:hAnsi="Cormorant Garamond"/>
          <w:color w:val="1F1F1F"/>
          <w:sz w:val="21"/>
          <w:szCs w:val="21"/>
        </w:rPr>
        <w:t xml:space="preserve"> Each panelist scores every finalist on every criterion, with a mandatory evidence note per score. Nobody sees anyone else's scores until all have submitted or the deadline passes.</w:t>
      </w:r>
    </w:p>
    <w:p>
      <w:pPr>
        <w:spacing w:after="100"/>
        <w:ind w:left="540" w:hanging="540"/>
      </w:pPr>
      <w:r>
        <w:rPr>
          <w:rFonts w:ascii="JetBrains Mono" w:cs="JetBrains Mono" w:eastAsia="JetBrains Mono" w:hAnsi="JetBrains Mono"/>
          <w:color w:val="A8341F"/>
          <w:sz w:val="18"/>
          <w:szCs w:val="18"/>
        </w:rPr>
        <w:t xml:space="preserve">04	</w:t>
      </w:r>
      <w:r>
        <w:rPr>
          <w:rFonts w:ascii="Cormorant Garamond" w:cs="Cormorant Garamond" w:eastAsia="Cormorant Garamond" w:hAnsi="Cormorant Garamond"/>
          <w:b/>
          <w:bCs/>
          <w:color w:val="1F1F1F"/>
          <w:sz w:val="21"/>
          <w:szCs w:val="21"/>
        </w:rPr>
        <w:t xml:space="preserve">See the divergence.</w:t>
      </w:r>
      <w:r>
        <w:rPr>
          <w:rFonts w:ascii="Cormorant Garamond" w:cs="Cormorant Garamond" w:eastAsia="Cormorant Garamond" w:hAnsi="Cormorant Garamond"/>
          <w:color w:val="1F1F1F"/>
          <w:sz w:val="21"/>
          <w:szCs w:val="21"/>
        </w:rPr>
        <w:t xml:space="preserve"> Per candidate and per criterion, the spread across panelists is shown. Gaps above a threshold are flagged. This is the "same CV, two verdicts" screen from your site, made real.</w:t>
      </w:r>
    </w:p>
    <w:p>
      <w:pPr>
        <w:spacing w:after="100"/>
        <w:ind w:left="540" w:hanging="540"/>
      </w:pPr>
      <w:r>
        <w:rPr>
          <w:rFonts w:ascii="JetBrains Mono" w:cs="JetBrains Mono" w:eastAsia="JetBrains Mono" w:hAnsi="JetBrains Mono"/>
          <w:color w:val="A8341F"/>
          <w:sz w:val="18"/>
          <w:szCs w:val="18"/>
        </w:rPr>
        <w:t xml:space="preserve">05	</w:t>
      </w:r>
      <w:r>
        <w:rPr>
          <w:rFonts w:ascii="Cormorant Garamond" w:cs="Cormorant Garamond" w:eastAsia="Cormorant Garamond" w:hAnsi="Cormorant Garamond"/>
          <w:b/>
          <w:bCs/>
          <w:color w:val="1F1F1F"/>
          <w:sz w:val="21"/>
          <w:szCs w:val="21"/>
        </w:rPr>
        <w:t xml:space="preserve">Calibrate.</w:t>
      </w:r>
      <w:r>
        <w:rPr>
          <w:rFonts w:ascii="Cormorant Garamond" w:cs="Cormorant Garamond" w:eastAsia="Cormorant Garamond" w:hAnsi="Cormorant Garamond"/>
          <w:color w:val="1F1F1F"/>
          <w:sz w:val="21"/>
          <w:szCs w:val="21"/>
        </w:rPr>
        <w:t xml:space="preserve"> The panel resolves each flagged gap. Every resolution records a reason. Pre calibration scores are kept as the audit trail.</w:t>
      </w:r>
    </w:p>
    <w:p>
      <w:pPr>
        <w:spacing w:after="100"/>
        <w:ind w:left="540" w:hanging="540"/>
      </w:pPr>
      <w:r>
        <w:rPr>
          <w:rFonts w:ascii="JetBrains Mono" w:cs="JetBrains Mono" w:eastAsia="JetBrains Mono" w:hAnsi="JetBrains Mono"/>
          <w:color w:val="A8341F"/>
          <w:sz w:val="18"/>
          <w:szCs w:val="18"/>
        </w:rPr>
        <w:t xml:space="preserve">06	</w:t>
      </w:r>
      <w:r>
        <w:rPr>
          <w:rFonts w:ascii="Cormorant Garamond" w:cs="Cormorant Garamond" w:eastAsia="Cormorant Garamond" w:hAnsi="Cormorant Garamond"/>
          <w:b/>
          <w:bCs/>
          <w:color w:val="1F1F1F"/>
          <w:sz w:val="21"/>
          <w:szCs w:val="21"/>
        </w:rPr>
        <w:t xml:space="preserve">Issue the Verdict.</w:t>
      </w:r>
      <w:r>
        <w:rPr>
          <w:rFonts w:ascii="Cormorant Garamond" w:cs="Cormorant Garamond" w:eastAsia="Cormorant Garamond" w:hAnsi="Cormorant Garamond"/>
          <w:color w:val="1F1F1F"/>
          <w:sz w:val="21"/>
          <w:szCs w:val="21"/>
        </w:rPr>
        <w:t xml:space="preserve"> The memo is generated from the record: role, rubric, scores before and after, reasons, risks, and a recommendation written by a human in a free text field. Exported in house style.</w:t>
      </w:r>
    </w:p>
    <w:p>
      <w:pPr>
        <w:spacing w:after="100"/>
        <w:ind w:left="540" w:hanging="540"/>
      </w:pPr>
      <w:r>
        <w:rPr>
          <w:rFonts w:ascii="JetBrains Mono" w:cs="JetBrains Mono" w:eastAsia="JetBrains Mono" w:hAnsi="JetBrains Mono"/>
          <w:color w:val="A8341F"/>
          <w:sz w:val="18"/>
          <w:szCs w:val="18"/>
        </w:rPr>
        <w:t xml:space="preserve">07	</w:t>
      </w:r>
      <w:r>
        <w:rPr>
          <w:rFonts w:ascii="Cormorant Garamond" w:cs="Cormorant Garamond" w:eastAsia="Cormorant Garamond" w:hAnsi="Cormorant Garamond"/>
          <w:b/>
          <w:bCs/>
          <w:color w:val="1F1F1F"/>
          <w:sz w:val="21"/>
          <w:szCs w:val="21"/>
        </w:rPr>
        <w:t xml:space="preserve">Log the outcome.</w:t>
      </w:r>
      <w:r>
        <w:rPr>
          <w:rFonts w:ascii="Cormorant Garamond" w:cs="Cormorant Garamond" w:eastAsia="Cormorant Garamond" w:hAnsi="Cormorant Garamond"/>
          <w:color w:val="1F1F1F"/>
          <w:sz w:val="21"/>
          <w:szCs w:val="21"/>
        </w:rPr>
        <w:t xml:space="preserve"> At 90, 180 and 365 days the hiring lead is asked four questions: stayed or left, manager satisfaction, early concerns, and whether the memo flagged what later mattered.</w:t>
      </w:r>
    </w:p>
    <w:p>
      <w:r>
        <w:rPr>
          <w:rFonts w:ascii="Cormorant Garamond" w:cs="Cormorant Garamond" w:eastAsia="Cormorant Garamond" w:hAnsi="Cormorant Garamond"/>
          <w:color w:val="1F1F1F"/>
          <w:sz w:val="21"/>
          <w:szCs w:val="21"/>
        </w:rPr>
        <w:t xml:space="preserve">Steps 3 to 5 are the loop. Steps 1, 6 and 7 are the bookends that make it defensible and make it a business.</w:t>
      </w:r>
    </w:p>
    <w:p>
      <w:pPr>
        <w:spacing w:after="40" w:before="360"/>
      </w:pPr>
      <w:r>
        <w:rPr>
          <w:rFonts w:ascii="JetBrains Mono" w:cs="JetBrains Mono" w:eastAsia="JetBrains Mono" w:hAnsi="JetBrains Mono"/>
          <w:color w:val="C8A27A"/>
          <w:sz w:val="17"/>
          <w:szCs w:val="17"/>
        </w:rPr>
        <w:t xml:space="preserve">04  —————</w:t>
      </w:r>
    </w:p>
    <w:p>
      <w:pPr>
        <w:pStyle w:val="Heading1"/>
        <w:spacing w:after="120" w:before="0"/>
      </w:pPr>
      <w:r>
        <w:rPr>
          <w:rFonts w:ascii="Inter" w:cs="Inter" w:eastAsia="Inter" w:hAnsi="Inter"/>
          <w:b/>
          <w:bCs/>
          <w:color w:val="A8341F"/>
          <w:sz w:val="28"/>
          <w:szCs w:val="28"/>
        </w:rPr>
        <w:t xml:space="preserve">What the product is, and is not</w:t>
      </w:r>
    </w:p>
    <w:p>
      <w:r>
        <w:rPr>
          <w:rFonts w:ascii="Cormorant Garamond" w:cs="Cormorant Garamond" w:eastAsia="Cormorant Garamond" w:hAnsi="Cormorant Garamond"/>
          <w:b/>
          <w:bCs/>
          <w:color w:val="1F1F1F"/>
          <w:sz w:val="21"/>
          <w:szCs w:val="21"/>
        </w:rPr>
        <w:t xml:space="preserve">Calibre is a panel decision workspace for finance role finalists.</w:t>
      </w:r>
      <w:r>
        <w:rPr>
          <w:rFonts w:ascii="Cormorant Garamond" w:cs="Cormorant Garamond" w:eastAsia="Cormorant Garamond" w:hAnsi="Cormorant Garamond"/>
          <w:color w:val="1F1F1F"/>
          <w:sz w:val="21"/>
          <w:szCs w:val="21"/>
        </w:rPr>
        <w:t xml:space="preserve"> One role, one panel, one locked rubric, one memo.</w:t>
      </w:r>
    </w:p>
    <w:p>
      <w:r>
        <w:rPr>
          <w:rFonts w:ascii="Cormorant Garamond" w:cs="Cormorant Garamond" w:eastAsia="Cormorant Garamond" w:hAnsi="Cormorant Garamond"/>
          <w:color w:val="1F1F1F"/>
          <w:sz w:val="21"/>
          <w:szCs w:val="21"/>
        </w:rPr>
        <w:t xml:space="preserve">It is a system of record for a hiring decision, not a system for finding candidates and not a system for testing them.</w:t>
      </w:r>
    </w:p>
    <w:p>
      <w:pPr>
        <w:pStyle w:val="Heading2"/>
        <w:spacing w:after="80" w:before="280"/>
      </w:pPr>
      <w:r>
        <w:rPr>
          <w:rFonts w:ascii="Inter" w:cs="Inter" w:eastAsia="Inter" w:hAnsi="Inter"/>
          <w:b/>
          <w:bCs/>
          <w:color w:val="A8341F"/>
          <w:sz w:val="24"/>
          <w:szCs w:val="24"/>
        </w:rPr>
        <w:t xml:space="preserve">Object model</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899"/>
        <w:gridCol w:w="8173"/>
      </w:tblGrid>
      <w:tr>
        <w:trPr>
          <w:tblHeader/>
        </w:trPr>
        <w:tc>
          <w:tcPr>
            <w:tcW w:type="dxa" w:w="899"/>
            <w:tcBorders>
              <w:top w:val="single" w:color="C8A27A" w:sz="4"/>
              <w:left w:val="none" w:color="FFFFFF" w:sz="0"/>
              <w:bottom w:val="single" w:color="C8A27A" w:sz="4"/>
              <w:right w:val="none" w:color="FFFFFF" w:sz="0"/>
            </w:tcBorders>
            <w:shd w:fill="1A1410" w:val="clear"/>
            <w:tcMar>
              <w:top w:type="dxa" w:w="90"/>
              <w:left w:type="dxa" w:w="110"/>
              <w:bottom w:type="dxa" w:w="90"/>
              <w:right w:type="dxa" w:w="110"/>
            </w:tcMar>
          </w:tcPr>
          <w:p>
            <w:pPr>
              <w:spacing w:after="0" w:line="276"/>
              <w:jc w:val="left"/>
            </w:pPr>
            <w:r>
              <w:rPr>
                <w:rFonts w:ascii="Inter" w:cs="Inter" w:eastAsia="Inter" w:hAnsi="Inter"/>
                <w:b/>
                <w:bCs/>
                <w:color w:val="FFFFFF"/>
                <w:sz w:val="18"/>
                <w:szCs w:val="18"/>
              </w:rPr>
              <w:t xml:space="preserve">Object</w:t>
            </w:r>
          </w:p>
        </w:tc>
        <w:tc>
          <w:tcPr>
            <w:tcW w:type="dxa" w:w="8173"/>
            <w:tcBorders>
              <w:top w:val="single" w:color="C8A27A" w:sz="4"/>
              <w:left w:val="none" w:color="FFFFFF" w:sz="0"/>
              <w:bottom w:val="single" w:color="C8A27A" w:sz="4"/>
              <w:right w:val="none" w:color="FFFFFF" w:sz="0"/>
            </w:tcBorders>
            <w:shd w:fill="1A1410" w:val="clear"/>
            <w:tcMar>
              <w:top w:type="dxa" w:w="90"/>
              <w:left w:type="dxa" w:w="110"/>
              <w:bottom w:type="dxa" w:w="90"/>
              <w:right w:type="dxa" w:w="110"/>
            </w:tcMar>
          </w:tcPr>
          <w:p>
            <w:pPr>
              <w:spacing w:after="0" w:line="276"/>
              <w:jc w:val="left"/>
            </w:pPr>
            <w:r>
              <w:rPr>
                <w:rFonts w:ascii="Inter" w:cs="Inter" w:eastAsia="Inter" w:hAnsi="Inter"/>
                <w:b/>
                <w:bCs/>
                <w:color w:val="FFFFFF"/>
                <w:sz w:val="18"/>
                <w:szCs w:val="18"/>
              </w:rPr>
              <w:t xml:space="preserve">Holds</w:t>
            </w:r>
          </w:p>
        </w:tc>
      </w:tr>
      <w:tr>
        <w:tc>
          <w:tcPr>
            <w:tcW w:type="dxa" w:w="899"/>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Workspace</w:t>
            </w:r>
          </w:p>
        </w:tc>
        <w:tc>
          <w:tcPr>
            <w:tcW w:type="dxa" w:w="8173"/>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One client organisation. Owner, members, retention setting, signed use policy.</w:t>
            </w:r>
          </w:p>
        </w:tc>
      </w:tr>
      <w:tr>
        <w:tc>
          <w:tcPr>
            <w:tcW w:type="dxa" w:w="899"/>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Role</w:t>
            </w:r>
          </w:p>
        </w:tc>
        <w:tc>
          <w:tcPr>
            <w:tcW w:type="dxa" w:w="8173"/>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Brief, locked rubric (criteria, weights, anchors), lock timestamp, amendments.</w:t>
            </w:r>
          </w:p>
        </w:tc>
      </w:tr>
      <w:tr>
        <w:tc>
          <w:tcPr>
            <w:tcW w:type="dxa" w:w="899"/>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Panel</w:t>
            </w:r>
          </w:p>
        </w:tc>
        <w:tc>
          <w:tcPr>
            <w:tcW w:type="dxa" w:w="8173"/>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Two to five reviewers invited by email. One is the hiring lead.</w:t>
            </w:r>
          </w:p>
        </w:tc>
      </w:tr>
      <w:tr>
        <w:tc>
          <w:tcPr>
            <w:tcW w:type="dxa" w:w="899"/>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Finalist</w:t>
            </w:r>
          </w:p>
        </w:tc>
        <w:tc>
          <w:tcPr>
            <w:tcW w:type="dxa" w:w="8173"/>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Name or initials, optional CV file, candidate notice sent flag.</w:t>
            </w:r>
          </w:p>
        </w:tc>
      </w:tr>
      <w:tr>
        <w:tc>
          <w:tcPr>
            <w:tcW w:type="dxa" w:w="899"/>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Score</w:t>
            </w:r>
          </w:p>
        </w:tc>
        <w:tc>
          <w:tcPr>
            <w:tcW w:type="dxa" w:w="8173"/>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Panelist × finalist × criterion. Value, evidence note, submitted timestamp. Immutable once submitted.</w:t>
            </w:r>
          </w:p>
        </w:tc>
      </w:tr>
      <w:tr>
        <w:tc>
          <w:tcPr>
            <w:tcW w:type="dxa" w:w="899"/>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Calibration</w:t>
            </w:r>
          </w:p>
        </w:tc>
        <w:tc>
          <w:tcPr>
            <w:tcW w:type="dxa" w:w="8173"/>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Per flagged gap: agreed value, written reason, who agreed.</w:t>
            </w:r>
          </w:p>
        </w:tc>
      </w:tr>
      <w:tr>
        <w:tc>
          <w:tcPr>
            <w:tcW w:type="dxa" w:w="899"/>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Verdict</w:t>
            </w:r>
          </w:p>
        </w:tc>
        <w:tc>
          <w:tcPr>
            <w:tcW w:type="dxa" w:w="8173"/>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Generated memo plus the human written recommendation. Versioned.</w:t>
            </w:r>
          </w:p>
        </w:tc>
      </w:tr>
      <w:tr>
        <w:tc>
          <w:tcPr>
            <w:tcW w:type="dxa" w:w="899"/>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Outcome</w:t>
            </w:r>
          </w:p>
        </w:tc>
        <w:tc>
          <w:tcPr>
            <w:tcW w:type="dxa" w:w="8173"/>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90/180/365 day answers.</w:t>
            </w:r>
          </w:p>
        </w:tc>
      </w:tr>
      <w:tr>
        <w:tc>
          <w:tcPr>
            <w:tcW w:type="dxa" w:w="899"/>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Audit log</w:t>
            </w:r>
          </w:p>
        </w:tc>
        <w:tc>
          <w:tcPr>
            <w:tcW w:type="dxa" w:w="8173"/>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Every read of candidate data, every score, every amendment.</w:t>
            </w:r>
          </w:p>
        </w:tc>
      </w:tr>
    </w:tbl>
    <w:p>
      <w:pPr>
        <w:spacing w:after="120"/>
      </w:pPr>
    </w:p>
    <w:p>
      <w:pPr>
        <w:pStyle w:val="Heading2"/>
        <w:spacing w:after="80" w:before="280"/>
      </w:pPr>
      <w:r>
        <w:rPr>
          <w:rFonts w:ascii="Inter" w:cs="Inter" w:eastAsia="Inter" w:hAnsi="Inter"/>
          <w:b/>
          <w:bCs/>
          <w:color w:val="A8341F"/>
          <w:sz w:val="24"/>
          <w:szCs w:val="24"/>
        </w:rPr>
        <w:t xml:space="preserve">Three layers, kept apart</w:t>
      </w:r>
    </w:p>
    <w:p>
      <w:r>
        <w:rPr>
          <w:rFonts w:ascii="Cormorant Garamond" w:cs="Cormorant Garamond" w:eastAsia="Cormorant Garamond" w:hAnsi="Cormorant Garamond"/>
          <w:color w:val="1F1F1F"/>
          <w:sz w:val="21"/>
          <w:szCs w:val="21"/>
        </w:rPr>
        <w:t xml:space="preserve">The assessment asked for the architecture to be stated in three layers so that nothing blurs into "assessment".</w:t>
      </w:r>
    </w:p>
    <w:p>
      <w:pPr>
        <w:pStyle w:val="ListParagraph"/>
        <w:numPr>
          <w:ilvl w:val="0"/>
          <w:numId w:val="2"/>
        </w:numPr>
        <w:spacing w:after="100"/>
      </w:pPr>
      <w:r>
        <w:rPr>
          <w:rFonts w:ascii="Cormorant Garamond" w:cs="Cormorant Garamond" w:eastAsia="Cormorant Garamond" w:hAnsi="Cormorant Garamond"/>
          <w:b/>
          <w:bCs/>
          <w:color w:val="1F1F1F"/>
          <w:sz w:val="21"/>
          <w:szCs w:val="21"/>
        </w:rPr>
        <w:t xml:space="preserve">Launch layer</w:t>
      </w:r>
      <w:r>
        <w:rPr>
          <w:rFonts w:ascii="Cormorant Garamond" w:cs="Cormorant Garamond" w:eastAsia="Cormorant Garamond" w:hAnsi="Cormorant Garamond"/>
          <w:color w:val="1F1F1F"/>
          <w:sz w:val="21"/>
          <w:szCs w:val="21"/>
        </w:rPr>
        <w:t xml:space="preserve"> (this document): structured role definition, anchored scorecards, blind panel scoring, calibration, written memo. Human decisions only.</w:t>
      </w:r>
    </w:p>
    <w:p>
      <w:pPr>
        <w:pStyle w:val="ListParagraph"/>
        <w:numPr>
          <w:ilvl w:val="0"/>
          <w:numId w:val="2"/>
        </w:numPr>
        <w:spacing w:after="100"/>
      </w:pPr>
      <w:r>
        <w:rPr>
          <w:rFonts w:ascii="Cormorant Garamond" w:cs="Cormorant Garamond" w:eastAsia="Cormorant Garamond" w:hAnsi="Cormorant Garamond"/>
          <w:b/>
          <w:bCs/>
          <w:color w:val="1F1F1F"/>
          <w:sz w:val="21"/>
          <w:szCs w:val="21"/>
        </w:rPr>
        <w:t xml:space="preserve">Research layer</w:t>
      </w:r>
      <w:r>
        <w:rPr>
          <w:rFonts w:ascii="Cormorant Garamond" w:cs="Cormorant Garamond" w:eastAsia="Cormorant Garamond" w:hAnsi="Cormorant Garamond"/>
          <w:color w:val="1F1F1F"/>
          <w:sz w:val="21"/>
          <w:szCs w:val="21"/>
        </w:rPr>
        <w:t xml:space="preserve"> (not in product): any future instrument work, only if funded and reviewed by an I-O psychologist. Never referenced in the app or marketing.</w:t>
      </w:r>
    </w:p>
    <w:p>
      <w:pPr>
        <w:pStyle w:val="ListParagraph"/>
        <w:numPr>
          <w:ilvl w:val="0"/>
          <w:numId w:val="2"/>
        </w:numPr>
        <w:spacing w:after="100"/>
      </w:pPr>
      <w:r>
        <w:rPr>
          <w:rFonts w:ascii="Cormorant Garamond" w:cs="Cormorant Garamond" w:eastAsia="Cormorant Garamond" w:hAnsi="Cormorant Garamond"/>
          <w:b/>
          <w:bCs/>
          <w:color w:val="1F1F1F"/>
          <w:sz w:val="21"/>
          <w:szCs w:val="21"/>
        </w:rPr>
        <w:t xml:space="preserve">Future assessment layer</w:t>
      </w:r>
      <w:r>
        <w:rPr>
          <w:rFonts w:ascii="Cormorant Garamond" w:cs="Cormorant Garamond" w:eastAsia="Cormorant Garamond" w:hAnsi="Cormorant Garamond"/>
          <w:color w:val="1F1F1F"/>
          <w:sz w:val="21"/>
          <w:szCs w:val="21"/>
        </w:rPr>
        <w:t xml:space="preserve"> (does not exist): only after the research layer produces reliability, fairness and cross cultural evidence.</w:t>
      </w:r>
    </w:p>
    <w:p>
      <w:pPr>
        <w:spacing w:after="40" w:before="360"/>
      </w:pPr>
      <w:r>
        <w:rPr>
          <w:rFonts w:ascii="JetBrains Mono" w:cs="JetBrains Mono" w:eastAsia="JetBrains Mono" w:hAnsi="JetBrains Mono"/>
          <w:color w:val="C8A27A"/>
          <w:sz w:val="17"/>
          <w:szCs w:val="17"/>
        </w:rPr>
        <w:t xml:space="preserve">05  —————</w:t>
      </w:r>
    </w:p>
    <w:p>
      <w:pPr>
        <w:pStyle w:val="Heading1"/>
        <w:spacing w:after="120" w:before="0"/>
      </w:pPr>
      <w:r>
        <w:rPr>
          <w:rFonts w:ascii="Inter" w:cs="Inter" w:eastAsia="Inter" w:hAnsi="Inter"/>
          <w:b/>
          <w:bCs/>
          <w:color w:val="A8341F"/>
          <w:sz w:val="28"/>
          <w:szCs w:val="28"/>
        </w:rPr>
        <w:t xml:space="preserve">MVP feature list</w:t>
      </w:r>
    </w:p>
    <w:p>
      <w:r>
        <w:rPr>
          <w:rFonts w:ascii="Cormorant Garamond" w:cs="Cormorant Garamond" w:eastAsia="Cormorant Garamond" w:hAnsi="Cormorant Garamond"/>
          <w:color w:val="1F1F1F"/>
          <w:sz w:val="21"/>
          <w:szCs w:val="21"/>
        </w:rPr>
        <w:t xml:space="preserve">The rule for inclusion: the feature is required to complete one paid Verdict through the app with a panel of two, or it is required to keep candidate data lawful. Nothing else.</w:t>
      </w:r>
    </w:p>
    <w:p>
      <w:pPr>
        <w:pStyle w:val="Heading2"/>
        <w:spacing w:after="80" w:before="280"/>
      </w:pPr>
      <w:r>
        <w:rPr>
          <w:rFonts w:ascii="Inter" w:cs="Inter" w:eastAsia="Inter" w:hAnsi="Inter"/>
          <w:b/>
          <w:bCs/>
          <w:color w:val="A8341F"/>
          <w:sz w:val="24"/>
          <w:szCs w:val="24"/>
        </w:rPr>
        <w:t xml:space="preserve">Must build</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839"/>
        <w:gridCol w:w="3935"/>
        <w:gridCol w:w="4298"/>
      </w:tblGrid>
      <w:tr>
        <w:trPr>
          <w:tblHeader/>
        </w:trPr>
        <w:tc>
          <w:tcPr>
            <w:tcW w:type="dxa" w:w="839"/>
            <w:tcBorders>
              <w:top w:val="single" w:color="C8A27A" w:sz="4"/>
              <w:left w:val="none" w:color="FFFFFF" w:sz="0"/>
              <w:bottom w:val="single" w:color="C8A27A" w:sz="4"/>
              <w:right w:val="none" w:color="FFFFFF" w:sz="0"/>
            </w:tcBorders>
            <w:shd w:fill="1A1410" w:val="clear"/>
            <w:tcMar>
              <w:top w:type="dxa" w:w="90"/>
              <w:left w:type="dxa" w:w="110"/>
              <w:bottom w:type="dxa" w:w="90"/>
              <w:right w:type="dxa" w:w="110"/>
            </w:tcMar>
          </w:tcPr>
          <w:p>
            <w:pPr>
              <w:spacing w:after="0" w:line="276"/>
              <w:jc w:val="left"/>
            </w:pPr>
            <w:r>
              <w:rPr>
                <w:rFonts w:ascii="Inter" w:cs="Inter" w:eastAsia="Inter" w:hAnsi="Inter"/>
                <w:b/>
                <w:bCs/>
                <w:color w:val="FFFFFF"/>
                <w:sz w:val="18"/>
                <w:szCs w:val="18"/>
              </w:rPr>
              <w:t xml:space="preserve">#</w:t>
            </w:r>
          </w:p>
        </w:tc>
        <w:tc>
          <w:tcPr>
            <w:tcW w:type="dxa" w:w="3935"/>
            <w:tcBorders>
              <w:top w:val="single" w:color="C8A27A" w:sz="4"/>
              <w:left w:val="none" w:color="FFFFFF" w:sz="0"/>
              <w:bottom w:val="single" w:color="C8A27A" w:sz="4"/>
              <w:right w:val="none" w:color="FFFFFF" w:sz="0"/>
            </w:tcBorders>
            <w:shd w:fill="1A1410" w:val="clear"/>
            <w:tcMar>
              <w:top w:type="dxa" w:w="90"/>
              <w:left w:type="dxa" w:w="110"/>
              <w:bottom w:type="dxa" w:w="90"/>
              <w:right w:type="dxa" w:w="110"/>
            </w:tcMar>
          </w:tcPr>
          <w:p>
            <w:pPr>
              <w:spacing w:after="0" w:line="276"/>
              <w:jc w:val="left"/>
            </w:pPr>
            <w:r>
              <w:rPr>
                <w:rFonts w:ascii="Inter" w:cs="Inter" w:eastAsia="Inter" w:hAnsi="Inter"/>
                <w:b/>
                <w:bCs/>
                <w:color w:val="FFFFFF"/>
                <w:sz w:val="18"/>
                <w:szCs w:val="18"/>
              </w:rPr>
              <w:t xml:space="preserve">Feature</w:t>
            </w:r>
          </w:p>
        </w:tc>
        <w:tc>
          <w:tcPr>
            <w:tcW w:type="dxa" w:w="4298"/>
            <w:tcBorders>
              <w:top w:val="single" w:color="C8A27A" w:sz="4"/>
              <w:left w:val="none" w:color="FFFFFF" w:sz="0"/>
              <w:bottom w:val="single" w:color="C8A27A" w:sz="4"/>
              <w:right w:val="none" w:color="FFFFFF" w:sz="0"/>
            </w:tcBorders>
            <w:shd w:fill="1A1410" w:val="clear"/>
            <w:tcMar>
              <w:top w:type="dxa" w:w="90"/>
              <w:left w:type="dxa" w:w="110"/>
              <w:bottom w:type="dxa" w:w="90"/>
              <w:right w:type="dxa" w:w="110"/>
            </w:tcMar>
          </w:tcPr>
          <w:p>
            <w:pPr>
              <w:spacing w:after="0" w:line="276"/>
              <w:jc w:val="left"/>
            </w:pPr>
            <w:r>
              <w:rPr>
                <w:rFonts w:ascii="Inter" w:cs="Inter" w:eastAsia="Inter" w:hAnsi="Inter"/>
                <w:b/>
                <w:bCs/>
                <w:color w:val="FFFFFF"/>
                <w:sz w:val="18"/>
                <w:szCs w:val="18"/>
              </w:rPr>
              <w:t xml:space="preserve">Why it survives</w:t>
            </w:r>
          </w:p>
        </w:tc>
      </w:tr>
      <w:tr>
        <w:tc>
          <w:tcPr>
            <w:tcW w:type="dxa" w:w="839"/>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right"/>
            </w:pPr>
            <w:r>
              <w:rPr>
                <w:rFonts w:ascii="Cormorant Garamond" w:cs="Cormorant Garamond" w:eastAsia="Cormorant Garamond" w:hAnsi="Cormorant Garamond"/>
                <w:color w:val="1F1F1F"/>
                <w:sz w:val="19"/>
                <w:szCs w:val="19"/>
              </w:rPr>
              <w:t xml:space="preserve">1</w:t>
            </w:r>
          </w:p>
        </w:tc>
        <w:tc>
          <w:tcPr>
            <w:tcW w:type="dxa" w:w="3935"/>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Workspace with email magic link sign in and panel invites</w:t>
            </w:r>
          </w:p>
        </w:tc>
        <w:tc>
          <w:tcPr>
            <w:tcW w:type="dxa" w:w="4298"/>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Panelists are one time users. No passwords, no onboarding.</w:t>
            </w:r>
          </w:p>
        </w:tc>
      </w:tr>
      <w:tr>
        <w:tc>
          <w:tcPr>
            <w:tcW w:type="dxa" w:w="839"/>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right"/>
            </w:pPr>
            <w:r>
              <w:rPr>
                <w:rFonts w:ascii="Cormorant Garamond" w:cs="Cormorant Garamond" w:eastAsia="Cormorant Garamond" w:hAnsi="Cormorant Garamond"/>
                <w:color w:val="1F1F1F"/>
                <w:sz w:val="19"/>
                <w:szCs w:val="19"/>
              </w:rPr>
              <w:t xml:space="preserve">2</w:t>
            </w:r>
          </w:p>
        </w:tc>
        <w:tc>
          <w:tcPr>
            <w:tcW w:type="dxa" w:w="3935"/>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Role brief and rubric builder, starting from two finance templates: Financial Controller and Finance Manager</w:t>
            </w:r>
          </w:p>
        </w:tc>
        <w:tc>
          <w:tcPr>
            <w:tcW w:type="dxa" w:w="4298"/>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The assessment names these two as the first packs. Templates make the rubric step ten minutes, not an afternoon.</w:t>
            </w:r>
          </w:p>
        </w:tc>
      </w:tr>
      <w:tr>
        <w:tc>
          <w:tcPr>
            <w:tcW w:type="dxa" w:w="839"/>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right"/>
            </w:pPr>
            <w:r>
              <w:rPr>
                <w:rFonts w:ascii="Cormorant Garamond" w:cs="Cormorant Garamond" w:eastAsia="Cormorant Garamond" w:hAnsi="Cormorant Garamond"/>
                <w:color w:val="1F1F1F"/>
                <w:sz w:val="19"/>
                <w:szCs w:val="19"/>
              </w:rPr>
              <w:t xml:space="preserve">3</w:t>
            </w:r>
          </w:p>
        </w:tc>
        <w:tc>
          <w:tcPr>
            <w:tcW w:type="dxa" w:w="3935"/>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Rubric lock with timestamp and versioned amendments</w:t>
            </w:r>
          </w:p>
        </w:tc>
        <w:tc>
          <w:tcPr>
            <w:tcW w:type="dxa" w:w="4298"/>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Pre locked criteria is the single control that prevents post hoc rationalisation. It is the product's integrity claim.</w:t>
            </w:r>
          </w:p>
        </w:tc>
      </w:tr>
      <w:tr>
        <w:tc>
          <w:tcPr>
            <w:tcW w:type="dxa" w:w="839"/>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right"/>
            </w:pPr>
            <w:r>
              <w:rPr>
                <w:rFonts w:ascii="Cormorant Garamond" w:cs="Cormorant Garamond" w:eastAsia="Cormorant Garamond" w:hAnsi="Cormorant Garamond"/>
                <w:color w:val="1F1F1F"/>
                <w:sz w:val="19"/>
                <w:szCs w:val="19"/>
              </w:rPr>
              <w:t xml:space="preserve">4</w:t>
            </w:r>
          </w:p>
        </w:tc>
        <w:tc>
          <w:tcPr>
            <w:tcW w:type="dxa" w:w="3935"/>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Finalist entry with optional CV upload</w:t>
            </w:r>
          </w:p>
        </w:tc>
        <w:tc>
          <w:tcPr>
            <w:tcW w:type="dxa" w:w="4298"/>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The minimum to score against.</w:t>
            </w:r>
          </w:p>
        </w:tc>
      </w:tr>
      <w:tr>
        <w:tc>
          <w:tcPr>
            <w:tcW w:type="dxa" w:w="839"/>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right"/>
            </w:pPr>
            <w:r>
              <w:rPr>
                <w:rFonts w:ascii="Cormorant Garamond" w:cs="Cormorant Garamond" w:eastAsia="Cormorant Garamond" w:hAnsi="Cormorant Garamond"/>
                <w:color w:val="1F1F1F"/>
                <w:sz w:val="19"/>
                <w:szCs w:val="19"/>
              </w:rPr>
              <w:t xml:space="preserve">5</w:t>
            </w:r>
          </w:p>
        </w:tc>
        <w:tc>
          <w:tcPr>
            <w:tcW w:type="dxa" w:w="3935"/>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Blind independent scoring with mandatory evidence notes</w:t>
            </w:r>
          </w:p>
        </w:tc>
        <w:tc>
          <w:tcPr>
            <w:tcW w:type="dxa" w:w="4298"/>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Blindness and evidence are what make scores comparable. Without them the divergence view is theatre.</w:t>
            </w:r>
          </w:p>
        </w:tc>
      </w:tr>
      <w:tr>
        <w:tc>
          <w:tcPr>
            <w:tcW w:type="dxa" w:w="839"/>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right"/>
            </w:pPr>
            <w:r>
              <w:rPr>
                <w:rFonts w:ascii="Cormorant Garamond" w:cs="Cormorant Garamond" w:eastAsia="Cormorant Garamond" w:hAnsi="Cormorant Garamond"/>
                <w:color w:val="1F1F1F"/>
                <w:sz w:val="19"/>
                <w:szCs w:val="19"/>
              </w:rPr>
              <w:t xml:space="preserve">6</w:t>
            </w:r>
          </w:p>
        </w:tc>
        <w:tc>
          <w:tcPr>
            <w:tcW w:type="dxa" w:w="3935"/>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Divergence view with threshold flags</w:t>
            </w:r>
          </w:p>
        </w:tc>
        <w:tc>
          <w:tcPr>
            <w:tcW w:type="dxa" w:w="4298"/>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The core screen. The thing the site already promises.</w:t>
            </w:r>
          </w:p>
        </w:tc>
      </w:tr>
      <w:tr>
        <w:tc>
          <w:tcPr>
            <w:tcW w:type="dxa" w:w="839"/>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right"/>
            </w:pPr>
            <w:r>
              <w:rPr>
                <w:rFonts w:ascii="Cormorant Garamond" w:cs="Cormorant Garamond" w:eastAsia="Cormorant Garamond" w:hAnsi="Cormorant Garamond"/>
                <w:color w:val="1F1F1F"/>
                <w:sz w:val="19"/>
                <w:szCs w:val="19"/>
              </w:rPr>
              <w:t xml:space="preserve">7</w:t>
            </w:r>
          </w:p>
        </w:tc>
        <w:tc>
          <w:tcPr>
            <w:tcW w:type="dxa" w:w="3935"/>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Calibration flow with written reasons, preserving pre calibration scores</w:t>
            </w:r>
          </w:p>
        </w:tc>
        <w:tc>
          <w:tcPr>
            <w:tcW w:type="dxa" w:w="4298"/>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Turns disagreement into a record. The audit trail is the deliverable.</w:t>
            </w:r>
          </w:p>
        </w:tc>
      </w:tr>
      <w:tr>
        <w:tc>
          <w:tcPr>
            <w:tcW w:type="dxa" w:w="839"/>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right"/>
            </w:pPr>
            <w:r>
              <w:rPr>
                <w:rFonts w:ascii="Cormorant Garamond" w:cs="Cormorant Garamond" w:eastAsia="Cormorant Garamond" w:hAnsi="Cormorant Garamond"/>
                <w:color w:val="1F1F1F"/>
                <w:sz w:val="19"/>
                <w:szCs w:val="19"/>
              </w:rPr>
              <w:t xml:space="preserve">8</w:t>
            </w:r>
          </w:p>
        </w:tc>
        <w:tc>
          <w:tcPr>
            <w:tcW w:type="dxa" w:w="3935"/>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Verdict memo generation, printable HTML in house style, with a human written recommendation field</w:t>
            </w:r>
          </w:p>
        </w:tc>
        <w:tc>
          <w:tcPr>
            <w:tcW w:type="dxa" w:w="4298"/>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The paid output. Human recommendation keeps the decision with the panel, not the software.</w:t>
            </w:r>
          </w:p>
        </w:tc>
      </w:tr>
      <w:tr>
        <w:tc>
          <w:tcPr>
            <w:tcW w:type="dxa" w:w="839"/>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right"/>
            </w:pPr>
            <w:r>
              <w:rPr>
                <w:rFonts w:ascii="Cormorant Garamond" w:cs="Cormorant Garamond" w:eastAsia="Cormorant Garamond" w:hAnsi="Cormorant Garamond"/>
                <w:color w:val="1F1F1F"/>
                <w:sz w:val="19"/>
                <w:szCs w:val="19"/>
              </w:rPr>
              <w:t xml:space="preserve">9</w:t>
            </w:r>
          </w:p>
        </w:tc>
        <w:tc>
          <w:tcPr>
            <w:tcW w:type="dxa" w:w="3935"/>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Outcome prompts at 90/180/365 days by email</w:t>
            </w:r>
          </w:p>
        </w:tc>
        <w:tc>
          <w:tcPr>
            <w:tcW w:type="dxa" w:w="4298"/>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The outcome register was to start with Verdict one. Automating the prompt is the only way it survives a 10 hour week.</w:t>
            </w:r>
          </w:p>
        </w:tc>
      </w:tr>
      <w:tr>
        <w:tc>
          <w:tcPr>
            <w:tcW w:type="dxa" w:w="839"/>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right"/>
            </w:pPr>
            <w:r>
              <w:rPr>
                <w:rFonts w:ascii="Cormorant Garamond" w:cs="Cormorant Garamond" w:eastAsia="Cormorant Garamond" w:hAnsi="Cormorant Garamond"/>
                <w:color w:val="1F1F1F"/>
                <w:sz w:val="19"/>
                <w:szCs w:val="19"/>
              </w:rPr>
              <w:t xml:space="preserve">10</w:t>
            </w:r>
          </w:p>
        </w:tc>
        <w:tc>
          <w:tcPr>
            <w:tcW w:type="dxa" w:w="3935"/>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Guardrails: candidate notice template, retention auto delete, use policy acknowledgement, audit log</w:t>
            </w:r>
          </w:p>
        </w:tc>
        <w:tc>
          <w:tcPr>
            <w:tcW w:type="dxa" w:w="4298"/>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Required by the assessment before any live use. Cheaper to build in than to bolt on.</w:t>
            </w:r>
          </w:p>
        </w:tc>
      </w:tr>
    </w:tbl>
    <w:p>
      <w:pPr>
        <w:spacing w:after="120"/>
      </w:pPr>
    </w:p>
    <w:p>
      <w:pPr>
        <w:pStyle w:val="Heading2"/>
        <w:spacing w:after="80" w:before="280"/>
      </w:pPr>
      <w:r>
        <w:rPr>
          <w:rFonts w:ascii="Inter" w:cs="Inter" w:eastAsia="Inter" w:hAnsi="Inter"/>
          <w:b/>
          <w:bCs/>
          <w:color w:val="A8341F"/>
          <w:sz w:val="24"/>
          <w:szCs w:val="24"/>
        </w:rPr>
        <w:t xml:space="preserve">Explicitly not in the MVP</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351"/>
        <w:gridCol w:w="869"/>
        <w:gridCol w:w="5852"/>
      </w:tblGrid>
      <w:tr>
        <w:trPr>
          <w:tblHeader/>
        </w:trPr>
        <w:tc>
          <w:tcPr>
            <w:tcW w:type="dxa" w:w="2351"/>
            <w:tcBorders>
              <w:top w:val="single" w:color="C8A27A" w:sz="4"/>
              <w:left w:val="none" w:color="FFFFFF" w:sz="0"/>
              <w:bottom w:val="single" w:color="C8A27A" w:sz="4"/>
              <w:right w:val="none" w:color="FFFFFF" w:sz="0"/>
            </w:tcBorders>
            <w:shd w:fill="1A1410" w:val="clear"/>
            <w:tcMar>
              <w:top w:type="dxa" w:w="90"/>
              <w:left w:type="dxa" w:w="110"/>
              <w:bottom w:type="dxa" w:w="90"/>
              <w:right w:type="dxa" w:w="110"/>
            </w:tcMar>
          </w:tcPr>
          <w:p>
            <w:pPr>
              <w:spacing w:after="0" w:line="276"/>
              <w:jc w:val="left"/>
            </w:pPr>
            <w:r>
              <w:rPr>
                <w:rFonts w:ascii="Inter" w:cs="Inter" w:eastAsia="Inter" w:hAnsi="Inter"/>
                <w:b/>
                <w:bCs/>
                <w:color w:val="FFFFFF"/>
                <w:sz w:val="18"/>
                <w:szCs w:val="18"/>
              </w:rPr>
              <w:t xml:space="preserve">Feature</w:t>
            </w:r>
          </w:p>
        </w:tc>
        <w:tc>
          <w:tcPr>
            <w:tcW w:type="dxa" w:w="869"/>
            <w:tcBorders>
              <w:top w:val="single" w:color="C8A27A" w:sz="4"/>
              <w:left w:val="none" w:color="FFFFFF" w:sz="0"/>
              <w:bottom w:val="single" w:color="C8A27A" w:sz="4"/>
              <w:right w:val="none" w:color="FFFFFF" w:sz="0"/>
            </w:tcBorders>
            <w:shd w:fill="1A1410" w:val="clear"/>
            <w:tcMar>
              <w:top w:type="dxa" w:w="90"/>
              <w:left w:type="dxa" w:w="110"/>
              <w:bottom w:type="dxa" w:w="90"/>
              <w:right w:type="dxa" w:w="110"/>
            </w:tcMar>
          </w:tcPr>
          <w:p>
            <w:pPr>
              <w:spacing w:after="0" w:line="276"/>
              <w:jc w:val="left"/>
            </w:pPr>
            <w:r>
              <w:rPr>
                <w:rFonts w:ascii="Inter" w:cs="Inter" w:eastAsia="Inter" w:hAnsi="Inter"/>
                <w:b/>
                <w:bCs/>
                <w:color w:val="FFFFFF"/>
                <w:sz w:val="18"/>
                <w:szCs w:val="18"/>
              </w:rPr>
              <w:t xml:space="preserve">Status</w:t>
            </w:r>
          </w:p>
        </w:tc>
        <w:tc>
          <w:tcPr>
            <w:tcW w:type="dxa" w:w="5852"/>
            <w:tcBorders>
              <w:top w:val="single" w:color="C8A27A" w:sz="4"/>
              <w:left w:val="none" w:color="FFFFFF" w:sz="0"/>
              <w:bottom w:val="single" w:color="C8A27A" w:sz="4"/>
              <w:right w:val="none" w:color="FFFFFF" w:sz="0"/>
            </w:tcBorders>
            <w:shd w:fill="1A1410" w:val="clear"/>
            <w:tcMar>
              <w:top w:type="dxa" w:w="90"/>
              <w:left w:type="dxa" w:w="110"/>
              <w:bottom w:type="dxa" w:w="90"/>
              <w:right w:type="dxa" w:w="110"/>
            </w:tcMar>
          </w:tcPr>
          <w:p>
            <w:pPr>
              <w:spacing w:after="0" w:line="276"/>
              <w:jc w:val="left"/>
            </w:pPr>
            <w:r>
              <w:rPr>
                <w:rFonts w:ascii="Inter" w:cs="Inter" w:eastAsia="Inter" w:hAnsi="Inter"/>
                <w:b/>
                <w:bCs/>
                <w:color w:val="FFFFFF"/>
                <w:sz w:val="18"/>
                <w:szCs w:val="18"/>
              </w:rPr>
              <w:t xml:space="preserve">Trigger to revisit</w:t>
            </w:r>
          </w:p>
        </w:tc>
      </w:tr>
      <w:tr>
        <w:tc>
          <w:tcPr>
            <w:tcW w:type="dxa" w:w="2351"/>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Interview question bank</w:t>
            </w:r>
          </w:p>
        </w:tc>
        <w:tc>
          <w:tcPr>
            <w:tcW w:type="dxa" w:w="869"/>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Deferred</w:t>
            </w:r>
          </w:p>
        </w:tc>
        <w:tc>
          <w:tcPr>
            <w:tcW w:type="dxa" w:w="5852"/>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Client asks twice. Ship as a PDF per template first.</w:t>
            </w:r>
          </w:p>
        </w:tc>
      </w:tr>
      <w:tr>
        <w:tc>
          <w:tcPr>
            <w:tcW w:type="dxa" w:w="2351"/>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PDF export via a rendering library</w:t>
            </w:r>
          </w:p>
        </w:tc>
        <w:tc>
          <w:tcPr>
            <w:tcW w:type="dxa" w:w="869"/>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Deferred</w:t>
            </w:r>
          </w:p>
        </w:tc>
        <w:tc>
          <w:tcPr>
            <w:tcW w:type="dxa" w:w="5852"/>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Print to PDF from the browser is enough for Verdicts one to five.</w:t>
            </w:r>
          </w:p>
        </w:tc>
      </w:tr>
      <w:tr>
        <w:tc>
          <w:tcPr>
            <w:tcW w:type="dxa" w:w="2351"/>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Self serve checkout and billing</w:t>
            </w:r>
          </w:p>
        </w:tc>
        <w:tc>
          <w:tcPr>
            <w:tcW w:type="dxa" w:w="869"/>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Deferred</w:t>
            </w:r>
          </w:p>
        </w:tc>
        <w:tc>
          <w:tcPr>
            <w:tcW w:type="dxa" w:w="5852"/>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Invoice manually from Daftar. Stripe does not onboard Jordan based accounts, so this needs an entity decision anyway.</w:t>
            </w:r>
          </w:p>
        </w:tc>
      </w:tr>
      <w:tr>
        <w:tc>
          <w:tcPr>
            <w:tcW w:type="dxa" w:w="2351"/>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Arabic UI and memo</w:t>
            </w:r>
          </w:p>
        </w:tc>
        <w:tc>
          <w:tcPr>
            <w:tcW w:type="dxa" w:w="869"/>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Deferred</w:t>
            </w:r>
          </w:p>
        </w:tc>
        <w:tc>
          <w:tcPr>
            <w:tcW w:type="dxa" w:w="5852"/>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First KSA delivery, which is itself gated on independence.</w:t>
            </w:r>
          </w:p>
        </w:tc>
      </w:tr>
      <w:tr>
        <w:tc>
          <w:tcPr>
            <w:tcW w:type="dxa" w:w="2351"/>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Non finance role templates</w:t>
            </w:r>
          </w:p>
        </w:tc>
        <w:tc>
          <w:tcPr>
            <w:tcW w:type="dxa" w:w="869"/>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Deferred</w:t>
            </w:r>
          </w:p>
        </w:tc>
        <w:tc>
          <w:tcPr>
            <w:tcW w:type="dxa" w:w="5852"/>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Five finance decisions logged with outcomes.</w:t>
            </w:r>
          </w:p>
        </w:tc>
      </w:tr>
      <w:tr>
        <w:tc>
          <w:tcPr>
            <w:tcW w:type="dxa" w:w="2351"/>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Agency or multi client mode</w:t>
            </w:r>
          </w:p>
        </w:tc>
        <w:tc>
          <w:tcPr>
            <w:tcW w:type="dxa" w:w="869"/>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Deferred</w:t>
            </w:r>
          </w:p>
        </w:tc>
        <w:tc>
          <w:tcPr>
            <w:tcW w:type="dxa" w:w="5852"/>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Ten documented paid decisions.</w:t>
            </w:r>
          </w:p>
        </w:tc>
      </w:tr>
      <w:tr>
        <w:tc>
          <w:tcPr>
            <w:tcW w:type="dxa" w:w="2351"/>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SSO, SAML, enterprise roles</w:t>
            </w:r>
          </w:p>
        </w:tc>
        <w:tc>
          <w:tcPr>
            <w:tcW w:type="dxa" w:w="869"/>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Deferred</w:t>
            </w:r>
          </w:p>
        </w:tc>
        <w:tc>
          <w:tcPr>
            <w:tcW w:type="dxa" w:w="5852"/>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First client with more than one workspace.</w:t>
            </w:r>
          </w:p>
        </w:tc>
      </w:tr>
      <w:tr>
        <w:tc>
          <w:tcPr>
            <w:tcW w:type="dxa" w:w="2351"/>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Any LLM in the product, including memo drafting</w:t>
            </w:r>
          </w:p>
        </w:tc>
        <w:tc>
          <w:tcPr>
            <w:tcW w:type="dxa" w:w="869"/>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Deferred</w:t>
            </w:r>
          </w:p>
        </w:tc>
        <w:tc>
          <w:tcPr>
            <w:tcW w:type="dxa" w:w="5852"/>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Counsel review of AI Act exposure, and only ever to rephrase the panel's own evidence, never to score.</w:t>
            </w:r>
          </w:p>
        </w:tc>
      </w:tr>
      <w:tr>
        <w:tc>
          <w:tcPr>
            <w:tcW w:type="dxa" w:w="2351"/>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Work style instrument</w:t>
            </w:r>
          </w:p>
        </w:tc>
        <w:tc>
          <w:tcPr>
            <w:tcW w:type="dxa" w:w="869"/>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Removed</w:t>
            </w:r>
          </w:p>
        </w:tc>
        <w:tc>
          <w:tcPr>
            <w:tcW w:type="dxa" w:w="5852"/>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Funded psychometric validation programme, reviewed by an I-O psychologist.</w:t>
            </w:r>
          </w:p>
        </w:tc>
      </w:tr>
      <w:tr>
        <w:tc>
          <w:tcPr>
            <w:tcW w:type="dxa" w:w="2351"/>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Candidate portal, tests, video</w:t>
            </w:r>
          </w:p>
        </w:tc>
        <w:tc>
          <w:tcPr>
            <w:tcW w:type="dxa" w:w="869"/>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Out</w:t>
            </w:r>
          </w:p>
        </w:tc>
        <w:tc>
          <w:tcPr>
            <w:tcW w:type="dxa" w:w="5852"/>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Not planned.</w:t>
            </w:r>
          </w:p>
        </w:tc>
      </w:tr>
      <w:tr>
        <w:tc>
          <w:tcPr>
            <w:tcW w:type="dxa" w:w="2351"/>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ATS integration, sourcing, scheduling</w:t>
            </w:r>
          </w:p>
        </w:tc>
        <w:tc>
          <w:tcPr>
            <w:tcW w:type="dxa" w:w="869"/>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Out</w:t>
            </w:r>
          </w:p>
        </w:tc>
        <w:tc>
          <w:tcPr>
            <w:tcW w:type="dxa" w:w="5852"/>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Not planned. Calibre is not an ATS.</w:t>
            </w:r>
          </w:p>
        </w:tc>
      </w:tr>
      <w:tr>
        <w:tc>
          <w:tcPr>
            <w:tcW w:type="dxa" w:w="2351"/>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Analytics dashboards, cross client benchmarks</w:t>
            </w:r>
          </w:p>
        </w:tc>
        <w:tc>
          <w:tcPr>
            <w:tcW w:type="dxa" w:w="869"/>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Out for now</w:t>
            </w:r>
          </w:p>
        </w:tc>
        <w:tc>
          <w:tcPr>
            <w:tcW w:type="dxa" w:w="5852"/>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Volume that does not exist.</w:t>
            </w:r>
          </w:p>
        </w:tc>
      </w:tr>
    </w:tbl>
    <w:p>
      <w:pPr>
        <w:spacing w:after="120"/>
      </w:pPr>
    </w:p>
    <w:p>
      <w:pPr>
        <w:pStyle w:val="Heading2"/>
        <w:spacing w:after="80" w:before="280"/>
      </w:pPr>
      <w:r>
        <w:rPr>
          <w:rFonts w:ascii="Inter" w:cs="Inter" w:eastAsia="Inter" w:hAnsi="Inter"/>
          <w:b/>
          <w:bCs/>
          <w:color w:val="A8341F"/>
          <w:sz w:val="24"/>
          <w:szCs w:val="24"/>
        </w:rPr>
        <w:t xml:space="preserve">Prohibited uses, enforced in the product</w:t>
      </w:r>
    </w:p>
    <w:p>
      <w:r>
        <w:rPr>
          <w:rFonts w:ascii="Cormorant Garamond" w:cs="Cormorant Garamond" w:eastAsia="Cormorant Garamond" w:hAnsi="Cormorant Garamond"/>
          <w:color w:val="1F1F1F"/>
          <w:sz w:val="21"/>
          <w:szCs w:val="21"/>
        </w:rPr>
        <w:t xml:space="preserve">These come straight from the assessment and are product rules, not policy text:</w:t>
      </w:r>
    </w:p>
    <w:p>
      <w:pPr>
        <w:pStyle w:val="ListParagraph"/>
        <w:numPr>
          <w:ilvl w:val="0"/>
          <w:numId w:val="2"/>
        </w:numPr>
        <w:spacing w:after="100"/>
      </w:pPr>
      <w:r>
        <w:rPr>
          <w:rFonts w:ascii="Cormorant Garamond" w:cs="Cormorant Garamond" w:eastAsia="Cormorant Garamond" w:hAnsi="Cormorant Garamond"/>
          <w:color w:val="1F1F1F"/>
          <w:sz w:val="21"/>
          <w:szCs w:val="21"/>
        </w:rPr>
        <w:t xml:space="preserve">No automatic rejection. The app never hides, ranks out, or labels a finalist as rejected.</w:t>
      </w:r>
    </w:p>
    <w:p>
      <w:pPr>
        <w:pStyle w:val="ListParagraph"/>
        <w:numPr>
          <w:ilvl w:val="0"/>
          <w:numId w:val="2"/>
        </w:numPr>
        <w:spacing w:after="100"/>
      </w:pPr>
      <w:r>
        <w:rPr>
          <w:rFonts w:ascii="Cormorant Garamond" w:cs="Cormorant Garamond" w:eastAsia="Cormorant Garamond" w:hAnsi="Cormorant Garamond"/>
          <w:color w:val="1F1F1F"/>
          <w:sz w:val="21"/>
          <w:szCs w:val="21"/>
        </w:rPr>
        <w:t xml:space="preserve">No single overall "fit" score. Weighted totals appear only after calibration, labelled advisory.</w:t>
      </w:r>
    </w:p>
    <w:p>
      <w:pPr>
        <w:pStyle w:val="ListParagraph"/>
        <w:numPr>
          <w:ilvl w:val="0"/>
          <w:numId w:val="2"/>
        </w:numPr>
        <w:spacing w:after="100"/>
      </w:pPr>
      <w:r>
        <w:rPr>
          <w:rFonts w:ascii="Cormorant Garamond" w:cs="Cormorant Garamond" w:eastAsia="Cormorant Garamond" w:hAnsi="Cormorant Garamond"/>
          <w:color w:val="1F1F1F"/>
          <w:sz w:val="21"/>
          <w:szCs w:val="21"/>
        </w:rPr>
        <w:t xml:space="preserve">No use before shortlist. A role cannot hold more than six finalists.</w:t>
      </w:r>
    </w:p>
    <w:p>
      <w:pPr>
        <w:pStyle w:val="ListParagraph"/>
        <w:numPr>
          <w:ilvl w:val="0"/>
          <w:numId w:val="2"/>
        </w:numPr>
        <w:spacing w:after="100"/>
      </w:pPr>
      <w:r>
        <w:rPr>
          <w:rFonts w:ascii="Cormorant Garamond" w:cs="Cormorant Garamond" w:eastAsia="Cormorant Garamond" w:hAnsi="Cormorant Garamond"/>
          <w:color w:val="1F1F1F"/>
          <w:sz w:val="21"/>
          <w:szCs w:val="21"/>
        </w:rPr>
        <w:t xml:space="preserve">No override of demonstrated technical competence without a written job related reason. The memo template has a mandatory field for this when the recommendation departs from the highest scoring finalist.</w:t>
      </w:r>
    </w:p>
    <w:p>
      <w:pPr>
        <w:pStyle w:val="ListParagraph"/>
        <w:numPr>
          <w:ilvl w:val="0"/>
          <w:numId w:val="2"/>
        </w:numPr>
        <w:spacing w:after="100"/>
      </w:pPr>
      <w:r>
        <w:rPr>
          <w:rFonts w:ascii="Cormorant Garamond" w:cs="Cormorant Garamond" w:eastAsia="Cormorant Garamond" w:hAnsi="Cormorant Garamond"/>
          <w:color w:val="1F1F1F"/>
          <w:sz w:val="21"/>
          <w:szCs w:val="21"/>
        </w:rPr>
        <w:t xml:space="preserve">No candidate facing assessment of any kind.</w:t>
      </w:r>
    </w:p>
    <w:p>
      <w:pPr>
        <w:spacing w:after="40" w:before="360"/>
      </w:pPr>
      <w:r>
        <w:rPr>
          <w:rFonts w:ascii="JetBrains Mono" w:cs="JetBrains Mono" w:eastAsia="JetBrains Mono" w:hAnsi="JetBrains Mono"/>
          <w:color w:val="C8A27A"/>
          <w:sz w:val="17"/>
          <w:szCs w:val="17"/>
        </w:rPr>
        <w:t xml:space="preserve">06  —————</w:t>
      </w:r>
    </w:p>
    <w:p>
      <w:pPr>
        <w:pStyle w:val="Heading1"/>
        <w:spacing w:after="120" w:before="0"/>
      </w:pPr>
      <w:r>
        <w:rPr>
          <w:rFonts w:ascii="Inter" w:cs="Inter" w:eastAsia="Inter" w:hAnsi="Inter"/>
          <w:b/>
          <w:bCs/>
          <w:color w:val="A8341F"/>
          <w:sz w:val="28"/>
          <w:szCs w:val="28"/>
        </w:rPr>
        <w:t xml:space="preserve">Business model</w:t>
      </w:r>
    </w:p>
    <w:p>
      <w:r>
        <w:rPr>
          <w:rFonts w:ascii="Cormorant Garamond" w:cs="Cormorant Garamond" w:eastAsia="Cormorant Garamond" w:hAnsi="Cormorant Garamond"/>
          <w:color w:val="1F1F1F"/>
          <w:sz w:val="21"/>
          <w:szCs w:val="21"/>
        </w:rPr>
        <w:t xml:space="preserve">Calibre is priced per decision, not per seat. Hiring is episodic, and per seat pricing would either die between hires or pressure you into becoming an ATS.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854"/>
        <w:gridCol w:w="2524"/>
        <w:gridCol w:w="854"/>
        <w:gridCol w:w="2973"/>
        <w:gridCol w:w="1867"/>
      </w:tblGrid>
      <w:tr>
        <w:trPr>
          <w:tblHeader/>
        </w:trPr>
        <w:tc>
          <w:tcPr>
            <w:tcW w:type="dxa" w:w="854"/>
            <w:tcBorders>
              <w:top w:val="single" w:color="C8A27A" w:sz="4"/>
              <w:left w:val="none" w:color="FFFFFF" w:sz="0"/>
              <w:bottom w:val="single" w:color="C8A27A" w:sz="4"/>
              <w:right w:val="none" w:color="FFFFFF" w:sz="0"/>
            </w:tcBorders>
            <w:shd w:fill="1A1410" w:val="clear"/>
            <w:tcMar>
              <w:top w:type="dxa" w:w="90"/>
              <w:left w:type="dxa" w:w="110"/>
              <w:bottom w:type="dxa" w:w="90"/>
              <w:right w:type="dxa" w:w="110"/>
            </w:tcMar>
          </w:tcPr>
          <w:p>
            <w:pPr>
              <w:spacing w:after="0" w:line="276"/>
              <w:jc w:val="left"/>
            </w:pPr>
            <w:r>
              <w:rPr>
                <w:rFonts w:ascii="Inter" w:cs="Inter" w:eastAsia="Inter" w:hAnsi="Inter"/>
                <w:b/>
                <w:bCs/>
                <w:color w:val="FFFFFF"/>
                <w:sz w:val="18"/>
                <w:szCs w:val="18"/>
              </w:rPr>
              <w:t xml:space="preserve">Tier</w:t>
            </w:r>
          </w:p>
        </w:tc>
        <w:tc>
          <w:tcPr>
            <w:tcW w:type="dxa" w:w="2524"/>
            <w:tcBorders>
              <w:top w:val="single" w:color="C8A27A" w:sz="4"/>
              <w:left w:val="none" w:color="FFFFFF" w:sz="0"/>
              <w:bottom w:val="single" w:color="C8A27A" w:sz="4"/>
              <w:right w:val="none" w:color="FFFFFF" w:sz="0"/>
            </w:tcBorders>
            <w:shd w:fill="1A1410" w:val="clear"/>
            <w:tcMar>
              <w:top w:type="dxa" w:w="90"/>
              <w:left w:type="dxa" w:w="110"/>
              <w:bottom w:type="dxa" w:w="90"/>
              <w:right w:type="dxa" w:w="110"/>
            </w:tcMar>
          </w:tcPr>
          <w:p>
            <w:pPr>
              <w:spacing w:after="0" w:line="276"/>
              <w:jc w:val="left"/>
            </w:pPr>
            <w:r>
              <w:rPr>
                <w:rFonts w:ascii="Inter" w:cs="Inter" w:eastAsia="Inter" w:hAnsi="Inter"/>
                <w:b/>
                <w:bCs/>
                <w:color w:val="FFFFFF"/>
                <w:sz w:val="18"/>
                <w:szCs w:val="18"/>
              </w:rPr>
              <w:t xml:space="preserve">What the buyer gets</w:t>
            </w:r>
          </w:p>
        </w:tc>
        <w:tc>
          <w:tcPr>
            <w:tcW w:type="dxa" w:w="854"/>
            <w:tcBorders>
              <w:top w:val="single" w:color="C8A27A" w:sz="4"/>
              <w:left w:val="none" w:color="FFFFFF" w:sz="0"/>
              <w:bottom w:val="single" w:color="C8A27A" w:sz="4"/>
              <w:right w:val="none" w:color="FFFFFF" w:sz="0"/>
            </w:tcBorders>
            <w:shd w:fill="1A1410" w:val="clear"/>
            <w:tcMar>
              <w:top w:type="dxa" w:w="90"/>
              <w:left w:type="dxa" w:w="110"/>
              <w:bottom w:type="dxa" w:w="90"/>
              <w:right w:type="dxa" w:w="110"/>
            </w:tcMar>
          </w:tcPr>
          <w:p>
            <w:pPr>
              <w:spacing w:after="0" w:line="276"/>
              <w:jc w:val="left"/>
            </w:pPr>
            <w:r>
              <w:rPr>
                <w:rFonts w:ascii="Inter" w:cs="Inter" w:eastAsia="Inter" w:hAnsi="Inter"/>
                <w:b/>
                <w:bCs/>
                <w:color w:val="FFFFFF"/>
                <w:sz w:val="18"/>
                <w:szCs w:val="18"/>
              </w:rPr>
              <w:t xml:space="preserve">Who does the work</w:t>
            </w:r>
          </w:p>
        </w:tc>
        <w:tc>
          <w:tcPr>
            <w:tcW w:type="dxa" w:w="2973"/>
            <w:tcBorders>
              <w:top w:val="single" w:color="C8A27A" w:sz="4"/>
              <w:left w:val="none" w:color="FFFFFF" w:sz="0"/>
              <w:bottom w:val="single" w:color="C8A27A" w:sz="4"/>
              <w:right w:val="none" w:color="FFFFFF" w:sz="0"/>
            </w:tcBorders>
            <w:shd w:fill="1A1410" w:val="clear"/>
            <w:tcMar>
              <w:top w:type="dxa" w:w="90"/>
              <w:left w:type="dxa" w:w="110"/>
              <w:bottom w:type="dxa" w:w="90"/>
              <w:right w:type="dxa" w:w="110"/>
            </w:tcMar>
          </w:tcPr>
          <w:p>
            <w:pPr>
              <w:spacing w:after="0" w:line="276"/>
              <w:jc w:val="left"/>
            </w:pPr>
            <w:r>
              <w:rPr>
                <w:rFonts w:ascii="Inter" w:cs="Inter" w:eastAsia="Inter" w:hAnsi="Inter"/>
                <w:b/>
                <w:bCs/>
                <w:color w:val="FFFFFF"/>
                <w:sz w:val="18"/>
                <w:szCs w:val="18"/>
              </w:rPr>
              <w:t xml:space="preserve">Indicative price</w:t>
            </w:r>
          </w:p>
        </w:tc>
        <w:tc>
          <w:tcPr>
            <w:tcW w:type="dxa" w:w="1867"/>
            <w:tcBorders>
              <w:top w:val="single" w:color="C8A27A" w:sz="4"/>
              <w:left w:val="none" w:color="FFFFFF" w:sz="0"/>
              <w:bottom w:val="single" w:color="C8A27A" w:sz="4"/>
              <w:right w:val="none" w:color="FFFFFF" w:sz="0"/>
            </w:tcBorders>
            <w:shd w:fill="1A1410" w:val="clear"/>
            <w:tcMar>
              <w:top w:type="dxa" w:w="90"/>
              <w:left w:type="dxa" w:w="110"/>
              <w:bottom w:type="dxa" w:w="90"/>
              <w:right w:type="dxa" w:w="110"/>
            </w:tcMar>
          </w:tcPr>
          <w:p>
            <w:pPr>
              <w:spacing w:after="0" w:line="276"/>
              <w:jc w:val="left"/>
            </w:pPr>
            <w:r>
              <w:rPr>
                <w:rFonts w:ascii="Inter" w:cs="Inter" w:eastAsia="Inter" w:hAnsi="Inter"/>
                <w:b/>
                <w:bCs/>
                <w:color w:val="FFFFFF"/>
                <w:sz w:val="18"/>
                <w:szCs w:val="18"/>
              </w:rPr>
              <w:t xml:space="preserve">Source of the number</w:t>
            </w:r>
          </w:p>
        </w:tc>
      </w:tr>
      <w:tr>
        <w:tc>
          <w:tcPr>
            <w:tcW w:type="dxa" w:w="854"/>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Calibre Verdict</w:t>
            </w:r>
          </w:p>
        </w:tc>
        <w:tc>
          <w:tcPr>
            <w:tcW w:type="dxa" w:w="2524"/>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Full cycle in the app, plus the memo written by the founder</w:t>
            </w:r>
          </w:p>
        </w:tc>
        <w:tc>
          <w:tcPr>
            <w:tcW w:type="dxa" w:w="854"/>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Founder, 4 to 6 hours</w:t>
            </w:r>
          </w:p>
        </w:tc>
        <w:tc>
          <w:tcPr>
            <w:tcW w:type="dxa" w:w="2973"/>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USD 500 to 900 per decision as an attachment; USD 4,500 to 6,500 as a standalone pilot</w:t>
            </w:r>
          </w:p>
        </w:tc>
        <w:tc>
          <w:tcPr>
            <w:tcW w:type="dxa" w:w="1867"/>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Pivot strategy section 08; feasibility study section 5</w:t>
            </w:r>
          </w:p>
        </w:tc>
      </w:tr>
      <w:tr>
        <w:tc>
          <w:tcPr>
            <w:tcW w:type="dxa" w:w="854"/>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Calibre Panel</w:t>
            </w:r>
          </w:p>
        </w:tc>
        <w:tc>
          <w:tcPr>
            <w:tcW w:type="dxa" w:w="2524"/>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The workspace, templates and generated memo, self run by the client panel</w:t>
            </w:r>
          </w:p>
        </w:tc>
        <w:tc>
          <w:tcPr>
            <w:tcW w:type="dxa" w:w="854"/>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Client</w:t>
            </w:r>
          </w:p>
        </w:tc>
        <w:tc>
          <w:tcPr>
            <w:tcW w:type="dxa" w:w="2973"/>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To be set after five Verdicts. Working assumption: one third of the Verdict fee</w:t>
            </w:r>
          </w:p>
        </w:tc>
        <w:tc>
          <w:tcPr>
            <w:tcW w:type="dxa" w:w="1867"/>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Assumption, untested</w:t>
            </w:r>
          </w:p>
        </w:tc>
      </w:tr>
    </w:tbl>
    <w:p>
      <w:pPr>
        <w:spacing w:after="120"/>
      </w:pPr>
    </w:p>
    <w:p>
      <w:r>
        <w:rPr>
          <w:rFonts w:ascii="Cormorant Garamond" w:cs="Cormorant Garamond" w:eastAsia="Cormorant Garamond" w:hAnsi="Cormorant Garamond"/>
          <w:color w:val="1F1F1F"/>
          <w:sz w:val="21"/>
          <w:szCs w:val="21"/>
        </w:rPr>
        <w:t xml:space="preserve">Pricing discipline from the feasibility study still binds: founder hours on Calibre must clear the USD 350 per hour Finance Desk benchmark. The app's job over time is to move hours from the founder column to the client column without the fee falling as fast.</w:t>
      </w:r>
    </w:p>
    <w:p>
      <w:r>
        <w:rPr>
          <w:rFonts w:ascii="Cormorant Garamond" w:cs="Cormorant Garamond" w:eastAsia="Cormorant Garamond" w:hAnsi="Cormorant Garamond"/>
          <w:color w:val="1F1F1F"/>
          <w:sz w:val="21"/>
          <w:szCs w:val="21"/>
        </w:rPr>
        <w:t xml:space="preserve">Revenue is invoiced through Daftar Advisory until the Separate stage. No separate entity, no separate bank account, no payment gateway in the MVP.</w:t>
      </w:r>
    </w:p>
    <w:p>
      <w:pPr>
        <w:spacing w:after="40" w:before="360"/>
      </w:pPr>
      <w:r>
        <w:rPr>
          <w:rFonts w:ascii="JetBrains Mono" w:cs="JetBrains Mono" w:eastAsia="JetBrains Mono" w:hAnsi="JetBrains Mono"/>
          <w:color w:val="C8A27A"/>
          <w:sz w:val="17"/>
          <w:szCs w:val="17"/>
        </w:rPr>
        <w:t xml:space="preserve">07  —————</w:t>
      </w:r>
    </w:p>
    <w:p>
      <w:pPr>
        <w:pStyle w:val="Heading1"/>
        <w:spacing w:after="120" w:before="0"/>
      </w:pPr>
      <w:r>
        <w:rPr>
          <w:rFonts w:ascii="Inter" w:cs="Inter" w:eastAsia="Inter" w:hAnsi="Inter"/>
          <w:b/>
          <w:bCs/>
          <w:color w:val="A8341F"/>
          <w:sz w:val="28"/>
          <w:szCs w:val="28"/>
        </w:rPr>
        <w:t xml:space="preserve">Recommended stack, with reasoning</w:t>
      </w:r>
    </w:p>
    <w:p>
      <w:r>
        <w:rPr>
          <w:rFonts w:ascii="Cormorant Garamond" w:cs="Cormorant Garamond" w:eastAsia="Cormorant Garamond" w:hAnsi="Cormorant Garamond"/>
          <w:color w:val="1F1F1F"/>
          <w:sz w:val="21"/>
          <w:szCs w:val="21"/>
        </w:rPr>
        <w:t xml:space="preserve">The stack is chosen for one builder at 8 to 12 hours per week, who already ships Next.js, and for a product whose core value is an auditable record of personal data. Those two facts drive every choice.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851"/>
        <w:gridCol w:w="2100"/>
        <w:gridCol w:w="6121"/>
      </w:tblGrid>
      <w:tr>
        <w:trPr>
          <w:tblHeader/>
        </w:trPr>
        <w:tc>
          <w:tcPr>
            <w:tcW w:type="dxa" w:w="851"/>
            <w:tcBorders>
              <w:top w:val="single" w:color="C8A27A" w:sz="4"/>
              <w:left w:val="none" w:color="FFFFFF" w:sz="0"/>
              <w:bottom w:val="single" w:color="C8A27A" w:sz="4"/>
              <w:right w:val="none" w:color="FFFFFF" w:sz="0"/>
            </w:tcBorders>
            <w:shd w:fill="1A1410" w:val="clear"/>
            <w:tcMar>
              <w:top w:type="dxa" w:w="90"/>
              <w:left w:type="dxa" w:w="110"/>
              <w:bottom w:type="dxa" w:w="90"/>
              <w:right w:type="dxa" w:w="110"/>
            </w:tcMar>
          </w:tcPr>
          <w:p>
            <w:pPr>
              <w:spacing w:after="0" w:line="276"/>
              <w:jc w:val="left"/>
            </w:pPr>
            <w:r>
              <w:rPr>
                <w:rFonts w:ascii="Inter" w:cs="Inter" w:eastAsia="Inter" w:hAnsi="Inter"/>
                <w:b/>
                <w:bCs/>
                <w:color w:val="FFFFFF"/>
                <w:sz w:val="18"/>
                <w:szCs w:val="18"/>
              </w:rPr>
              <w:t xml:space="preserve">Layer</w:t>
            </w:r>
          </w:p>
        </w:tc>
        <w:tc>
          <w:tcPr>
            <w:tcW w:type="dxa" w:w="2100"/>
            <w:tcBorders>
              <w:top w:val="single" w:color="C8A27A" w:sz="4"/>
              <w:left w:val="none" w:color="FFFFFF" w:sz="0"/>
              <w:bottom w:val="single" w:color="C8A27A" w:sz="4"/>
              <w:right w:val="none" w:color="FFFFFF" w:sz="0"/>
            </w:tcBorders>
            <w:shd w:fill="1A1410" w:val="clear"/>
            <w:tcMar>
              <w:top w:type="dxa" w:w="90"/>
              <w:left w:type="dxa" w:w="110"/>
              <w:bottom w:type="dxa" w:w="90"/>
              <w:right w:type="dxa" w:w="110"/>
            </w:tcMar>
          </w:tcPr>
          <w:p>
            <w:pPr>
              <w:spacing w:after="0" w:line="276"/>
              <w:jc w:val="left"/>
            </w:pPr>
            <w:r>
              <w:rPr>
                <w:rFonts w:ascii="Inter" w:cs="Inter" w:eastAsia="Inter" w:hAnsi="Inter"/>
                <w:b/>
                <w:bCs/>
                <w:color w:val="FFFFFF"/>
                <w:sz w:val="18"/>
                <w:szCs w:val="18"/>
              </w:rPr>
              <w:t xml:space="preserve">Choice</w:t>
            </w:r>
          </w:p>
        </w:tc>
        <w:tc>
          <w:tcPr>
            <w:tcW w:type="dxa" w:w="6121"/>
            <w:tcBorders>
              <w:top w:val="single" w:color="C8A27A" w:sz="4"/>
              <w:left w:val="none" w:color="FFFFFF" w:sz="0"/>
              <w:bottom w:val="single" w:color="C8A27A" w:sz="4"/>
              <w:right w:val="none" w:color="FFFFFF" w:sz="0"/>
            </w:tcBorders>
            <w:shd w:fill="1A1410" w:val="clear"/>
            <w:tcMar>
              <w:top w:type="dxa" w:w="90"/>
              <w:left w:type="dxa" w:w="110"/>
              <w:bottom w:type="dxa" w:w="90"/>
              <w:right w:type="dxa" w:w="110"/>
            </w:tcMar>
          </w:tcPr>
          <w:p>
            <w:pPr>
              <w:spacing w:after="0" w:line="276"/>
              <w:jc w:val="left"/>
            </w:pPr>
            <w:r>
              <w:rPr>
                <w:rFonts w:ascii="Inter" w:cs="Inter" w:eastAsia="Inter" w:hAnsi="Inter"/>
                <w:b/>
                <w:bCs/>
                <w:color w:val="FFFFFF"/>
                <w:sz w:val="18"/>
                <w:szCs w:val="18"/>
              </w:rPr>
              <w:t xml:space="preserve">Reasoning</w:t>
            </w:r>
          </w:p>
        </w:tc>
      </w:tr>
      <w:tr>
        <w:tc>
          <w:tcPr>
            <w:tcW w:type="dxa" w:w="851"/>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Framework</w:t>
            </w:r>
          </w:p>
        </w:tc>
        <w:tc>
          <w:tcPr>
            <w:tcW w:type="dxa" w:w="2100"/>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Next.js 15, App Router, TypeScript, React 19</w:t>
            </w:r>
          </w:p>
        </w:tc>
        <w:tc>
          <w:tcPr>
            <w:tcW w:type="dxa" w:w="6121"/>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Already the toolchain of the Daftar-Advisory site. One language across marketing site and app. Server Actions remove the need for a separate API layer, which halves the surface a solo builder maintains.</w:t>
            </w:r>
          </w:p>
        </w:tc>
      </w:tr>
      <w:tr>
        <w:tc>
          <w:tcPr>
            <w:tcW w:type="dxa" w:w="851"/>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Database</w:t>
            </w:r>
          </w:p>
        </w:tc>
        <w:tc>
          <w:tcPr>
            <w:tcW w:type="dxa" w:w="2100"/>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Postgres on Supabase</w:t>
            </w:r>
          </w:p>
        </w:tc>
        <w:tc>
          <w:tcPr>
            <w:tcW w:type="dxa" w:w="6121"/>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Relational integrity matters when the product is an audit trail. Row Level Security gives multi tenant isolation in the database itself, which is the cheapest safe tenancy model for one developer. Supabase bundles auth and file storage, so CVs, users and data live under one access model.</w:t>
            </w:r>
          </w:p>
        </w:tc>
      </w:tr>
      <w:tr>
        <w:tc>
          <w:tcPr>
            <w:tcW w:type="dxa" w:w="851"/>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Auth</w:t>
            </w:r>
          </w:p>
        </w:tc>
        <w:tc>
          <w:tcPr>
            <w:tcW w:type="dxa" w:w="2100"/>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Supabase Auth, magic links only</w:t>
            </w:r>
          </w:p>
        </w:tc>
        <w:tc>
          <w:tcPr>
            <w:tcW w:type="dxa" w:w="6121"/>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Panelists are invited, one off users. No password reset flows to build or support.</w:t>
            </w:r>
          </w:p>
        </w:tc>
      </w:tr>
      <w:tr>
        <w:tc>
          <w:tcPr>
            <w:tcW w:type="dxa" w:w="851"/>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ORM and migrations</w:t>
            </w:r>
          </w:p>
        </w:tc>
        <w:tc>
          <w:tcPr>
            <w:tcW w:type="dxa" w:w="2100"/>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Drizzle</w:t>
            </w:r>
          </w:p>
        </w:tc>
        <w:tc>
          <w:tcPr>
            <w:tcW w:type="dxa" w:w="6121"/>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Typed queries, SQL migrations checked into git. Lighter than Prisma and closer to the SQL you will need to read when auditing.</w:t>
            </w:r>
          </w:p>
        </w:tc>
      </w:tr>
      <w:tr>
        <w:tc>
          <w:tcPr>
            <w:tcW w:type="dxa" w:w="851"/>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Hosting</w:t>
            </w:r>
          </w:p>
        </w:tc>
        <w:tc>
          <w:tcPr>
            <w:tcW w:type="dxa" w:w="2100"/>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Vercel for the app</w:t>
            </w:r>
          </w:p>
        </w:tc>
        <w:tc>
          <w:tcPr>
            <w:tcW w:type="dxa" w:w="6121"/>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First party Next.js support; Server Actions and edge behaviour work without adapter surprises. Netlify already hosts the marketing sites and can stay there. If you would rather have one vendor, Netlify's Next runtime is acceptable, but expect to spend hours on runtime quirks you would not spend on Vercel.</w:t>
            </w:r>
          </w:p>
        </w:tc>
      </w:tr>
      <w:tr>
        <w:tc>
          <w:tcPr>
            <w:tcW w:type="dxa" w:w="851"/>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Email</w:t>
            </w:r>
          </w:p>
        </w:tc>
        <w:tc>
          <w:tcPr>
            <w:tcW w:type="dxa" w:w="2100"/>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Resend</w:t>
            </w:r>
          </w:p>
        </w:tc>
        <w:tc>
          <w:tcPr>
            <w:tcW w:type="dxa" w:w="6121"/>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Magic links, scoring reminders, outcome prompts. Simple API, generous free tier, React email templates share the house type system.</w:t>
            </w:r>
          </w:p>
        </w:tc>
      </w:tr>
      <w:tr>
        <w:tc>
          <w:tcPr>
            <w:tcW w:type="dxa" w:w="851"/>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UI</w:t>
            </w:r>
          </w:p>
        </w:tc>
        <w:tc>
          <w:tcPr>
            <w:tcW w:type="dxa" w:w="2100"/>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Tailwind with tokens lifted from BRAND.md and the existing Calibre UI kit</w:t>
            </w:r>
          </w:p>
        </w:tc>
        <w:tc>
          <w:tcPr>
            <w:tcW w:type="dxa" w:w="6121"/>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The house has a strict design system. A component library would fight it. The Calibre kit in the Calibre-by-Daftar repo already defines buttons, cards, stat blocks and segmented controls.</w:t>
            </w:r>
          </w:p>
        </w:tc>
      </w:tr>
      <w:tr>
        <w:tc>
          <w:tcPr>
            <w:tcW w:type="dxa" w:w="851"/>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Memo output</w:t>
            </w:r>
          </w:p>
        </w:tc>
        <w:tc>
          <w:tcPr>
            <w:tcW w:type="dxa" w:w="2100"/>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Server rendered HTML with a print stylesheet</w:t>
            </w:r>
          </w:p>
        </w:tc>
        <w:tc>
          <w:tcPr>
            <w:tcW w:type="dxa" w:w="6121"/>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Deterministic, zero dependencies, and the client can print to PDF. Add a PDF renderer only when a client asks for the file by email.</w:t>
            </w:r>
          </w:p>
        </w:tc>
      </w:tr>
      <w:tr>
        <w:tc>
          <w:tcPr>
            <w:tcW w:type="dxa" w:w="851"/>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Testing</w:t>
            </w:r>
          </w:p>
        </w:tc>
        <w:tc>
          <w:tcPr>
            <w:tcW w:type="dxa" w:w="2100"/>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Vitest for scoring and divergence maths; one Playwright script that runs the full loop with two panelists</w:t>
            </w:r>
          </w:p>
        </w:tc>
        <w:tc>
          <w:tcPr>
            <w:tcW w:type="dxa" w:w="6121"/>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The loop is the product. One end to end test that proves it is worth more than fifty unit tests.</w:t>
            </w:r>
          </w:p>
        </w:tc>
      </w:tr>
      <w:tr>
        <w:tc>
          <w:tcPr>
            <w:tcW w:type="dxa" w:w="851"/>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Errors and logs</w:t>
            </w:r>
          </w:p>
        </w:tc>
        <w:tc>
          <w:tcPr>
            <w:tcW w:type="dxa" w:w="2100"/>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Sentry free tier, plus the in app audit log table</w:t>
            </w:r>
          </w:p>
        </w:tc>
        <w:tc>
          <w:tcPr>
            <w:tcW w:type="dxa" w:w="6121"/>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You need to know when a scoring submit fails silently. The audit log is a product feature, not an ops feature.</w:t>
            </w:r>
          </w:p>
        </w:tc>
      </w:tr>
    </w:tbl>
    <w:p>
      <w:pPr>
        <w:spacing w:after="120"/>
      </w:pPr>
    </w:p>
    <w:p>
      <w:pPr>
        <w:pStyle w:val="Heading2"/>
        <w:spacing w:after="80" w:before="280"/>
      </w:pPr>
      <w:r>
        <w:rPr>
          <w:rFonts w:ascii="Inter" w:cs="Inter" w:eastAsia="Inter" w:hAnsi="Inter"/>
          <w:b/>
          <w:bCs/>
          <w:color w:val="A8341F"/>
          <w:sz w:val="24"/>
          <w:szCs w:val="24"/>
        </w:rPr>
        <w:t xml:space="preserve">Data residency</w:t>
      </w:r>
    </w:p>
    <w:p>
      <w:r>
        <w:rPr>
          <w:rFonts w:ascii="Cormorant Garamond" w:cs="Cormorant Garamond" w:eastAsia="Cormorant Garamond" w:hAnsi="Cormorant Garamond"/>
          <w:color w:val="1F1F1F"/>
          <w:sz w:val="21"/>
          <w:szCs w:val="21"/>
        </w:rPr>
        <w:t xml:space="preserve">Candidate names, CVs and scores are personal data under the Saudi PDPL, the UAE PDPL and Jordan's Personal Data Protection Law. Start in Supabase's Frankfurt region, because the first markets are Jordan and the UAE and neither prohibits transfer with proper notice and contract terms, but this is counsel's call, not yours or mine. If a client requires regional hosting, Supabase can be self hosted on AWS me-central-1 in the UAE. Design nothing that assumes a single region.</w:t>
      </w:r>
    </w:p>
    <w:p>
      <w:r>
        <w:rPr>
          <w:rFonts w:ascii="Cormorant Garamond" w:cs="Cormorant Garamond" w:eastAsia="Cormorant Garamond" w:hAnsi="Cormorant Garamond"/>
          <w:color w:val="1F1F1F"/>
          <w:sz w:val="21"/>
          <w:szCs w:val="21"/>
        </w:rPr>
        <w:t xml:space="preserve">Retention: candidate personal data is deleted automatically a configurable number of days after the Verdict is issued, default 90. Scores and the memo survive with the candidate reduced to initials. This makes the outcome register lawful without keeping CVs for a year.</w:t>
      </w:r>
    </w:p>
    <w:p>
      <w:pPr>
        <w:pStyle w:val="Heading2"/>
        <w:spacing w:after="80" w:before="280"/>
      </w:pPr>
      <w:r>
        <w:rPr>
          <w:rFonts w:ascii="Inter" w:cs="Inter" w:eastAsia="Inter" w:hAnsi="Inter"/>
          <w:b/>
          <w:bCs/>
          <w:color w:val="A8341F"/>
          <w:sz w:val="24"/>
          <w:szCs w:val="24"/>
        </w:rPr>
        <w:t xml:space="preserve">Considered and rejected</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00"/>
        <w:gridCol w:w="7172"/>
      </w:tblGrid>
      <w:tr>
        <w:trPr>
          <w:tblHeader/>
        </w:trPr>
        <w:tc>
          <w:tcPr>
            <w:tcW w:type="dxa" w:w="1900"/>
            <w:tcBorders>
              <w:top w:val="single" w:color="C8A27A" w:sz="4"/>
              <w:left w:val="none" w:color="FFFFFF" w:sz="0"/>
              <w:bottom w:val="single" w:color="C8A27A" w:sz="4"/>
              <w:right w:val="none" w:color="FFFFFF" w:sz="0"/>
            </w:tcBorders>
            <w:shd w:fill="1A1410" w:val="clear"/>
            <w:tcMar>
              <w:top w:type="dxa" w:w="90"/>
              <w:left w:type="dxa" w:w="110"/>
              <w:bottom w:type="dxa" w:w="90"/>
              <w:right w:type="dxa" w:w="110"/>
            </w:tcMar>
          </w:tcPr>
          <w:p>
            <w:pPr>
              <w:spacing w:after="0" w:line="276"/>
              <w:jc w:val="left"/>
            </w:pPr>
            <w:r>
              <w:rPr>
                <w:rFonts w:ascii="Inter" w:cs="Inter" w:eastAsia="Inter" w:hAnsi="Inter"/>
                <w:b/>
                <w:bCs/>
                <w:color w:val="FFFFFF"/>
                <w:sz w:val="18"/>
                <w:szCs w:val="18"/>
              </w:rPr>
              <w:t xml:space="preserve">Option</w:t>
            </w:r>
          </w:p>
        </w:tc>
        <w:tc>
          <w:tcPr>
            <w:tcW w:type="dxa" w:w="7172"/>
            <w:tcBorders>
              <w:top w:val="single" w:color="C8A27A" w:sz="4"/>
              <w:left w:val="none" w:color="FFFFFF" w:sz="0"/>
              <w:bottom w:val="single" w:color="C8A27A" w:sz="4"/>
              <w:right w:val="none" w:color="FFFFFF" w:sz="0"/>
            </w:tcBorders>
            <w:shd w:fill="1A1410" w:val="clear"/>
            <w:tcMar>
              <w:top w:type="dxa" w:w="90"/>
              <w:left w:type="dxa" w:w="110"/>
              <w:bottom w:type="dxa" w:w="90"/>
              <w:right w:type="dxa" w:w="110"/>
            </w:tcMar>
          </w:tcPr>
          <w:p>
            <w:pPr>
              <w:spacing w:after="0" w:line="276"/>
              <w:jc w:val="left"/>
            </w:pPr>
            <w:r>
              <w:rPr>
                <w:rFonts w:ascii="Inter" w:cs="Inter" w:eastAsia="Inter" w:hAnsi="Inter"/>
                <w:b/>
                <w:bCs/>
                <w:color w:val="FFFFFF"/>
                <w:sz w:val="18"/>
                <w:szCs w:val="18"/>
              </w:rPr>
              <w:t xml:space="preserve">Why not</w:t>
            </w:r>
          </w:p>
        </w:tc>
      </w:tr>
      <w:tr>
        <w:tc>
          <w:tcPr>
            <w:tcW w:type="dxa" w:w="1900"/>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Firebase or Firestore</w:t>
            </w:r>
          </w:p>
        </w:tc>
        <w:tc>
          <w:tcPr>
            <w:tcW w:type="dxa" w:w="7172"/>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Weak relational and audit story. Security rules are harder to reason about than RLS for a one person team.</w:t>
            </w:r>
          </w:p>
        </w:tc>
      </w:tr>
      <w:tr>
        <w:tc>
          <w:tcPr>
            <w:tcW w:type="dxa" w:w="1900"/>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Separate backend (Django, Rails, NestJS)</w:t>
            </w:r>
          </w:p>
        </w:tc>
        <w:tc>
          <w:tcPr>
            <w:tcW w:type="dxa" w:w="7172"/>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Doubles the deploy surface and the language count. Nothing in the MVP needs it.</w:t>
            </w:r>
          </w:p>
        </w:tc>
      </w:tr>
      <w:tr>
        <w:tc>
          <w:tcPr>
            <w:tcW w:type="dxa" w:w="1900"/>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No code (Airtable, Bubble, Softr)</w:t>
            </w:r>
          </w:p>
        </w:tc>
        <w:tc>
          <w:tcPr>
            <w:tcW w:type="dxa" w:w="7172"/>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Tenancy, retention deletion and the audit trail are the product. No code tools make exactly those parts opaque.</w:t>
            </w:r>
          </w:p>
        </w:tc>
      </w:tr>
      <w:tr>
        <w:tc>
          <w:tcPr>
            <w:tcW w:type="dxa" w:w="1900"/>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Any LLM call in the scoring or memo path</w:t>
            </w:r>
          </w:p>
        </w:tc>
        <w:tc>
          <w:tcPr>
            <w:tcW w:type="dxa" w:w="7172"/>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Recruitment AI is high risk under the EU AI Act; the assessment forbids automated ranking; and buyers will ask for validation evidence you cannot give.</w:t>
            </w:r>
          </w:p>
        </w:tc>
      </w:tr>
      <w:tr>
        <w:tc>
          <w:tcPr>
            <w:tcW w:type="dxa" w:w="1900"/>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Mobile app</w:t>
            </w:r>
          </w:p>
        </w:tc>
        <w:tc>
          <w:tcPr>
            <w:tcW w:type="dxa" w:w="7172"/>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Panelists score from a laptop with a CV open. Responsive web only.</w:t>
            </w:r>
          </w:p>
        </w:tc>
      </w:tr>
    </w:tbl>
    <w:p>
      <w:pPr>
        <w:spacing w:after="120"/>
      </w:pPr>
    </w:p>
    <w:p>
      <w:pPr>
        <w:spacing w:after="40" w:before="360"/>
      </w:pPr>
      <w:r>
        <w:rPr>
          <w:rFonts w:ascii="JetBrains Mono" w:cs="JetBrains Mono" w:eastAsia="JetBrains Mono" w:hAnsi="JetBrains Mono"/>
          <w:color w:val="C8A27A"/>
          <w:sz w:val="17"/>
          <w:szCs w:val="17"/>
        </w:rPr>
        <w:t xml:space="preserve">08  —————</w:t>
      </w:r>
    </w:p>
    <w:p>
      <w:pPr>
        <w:pStyle w:val="Heading1"/>
        <w:spacing w:after="120" w:before="0"/>
      </w:pPr>
      <w:r>
        <w:rPr>
          <w:rFonts w:ascii="Inter" w:cs="Inter" w:eastAsia="Inter" w:hAnsi="Inter"/>
          <w:b/>
          <w:bCs/>
          <w:color w:val="A8341F"/>
          <w:sz w:val="28"/>
          <w:szCs w:val="28"/>
        </w:rPr>
        <w:t xml:space="preserve">What to do before touching a build tool</w:t>
      </w:r>
    </w:p>
    <w:p>
      <w:r>
        <w:rPr>
          <w:rFonts w:ascii="Cormorant Garamond" w:cs="Cormorant Garamond" w:eastAsia="Cormorant Garamond" w:hAnsi="Cormorant Garamond"/>
          <w:color w:val="1F1F1F"/>
          <w:sz w:val="21"/>
          <w:szCs w:val="21"/>
        </w:rPr>
        <w:t xml:space="preserve">The assessment's 30 day "minimum pack" is the paper prototype of this SaaS. Complete it first.</w:t>
      </w:r>
    </w:p>
    <w:p>
      <w:pPr>
        <w:spacing w:after="100"/>
        <w:ind w:left="540" w:hanging="540"/>
      </w:pPr>
      <w:r>
        <w:rPr>
          <w:rFonts w:ascii="JetBrains Mono" w:cs="JetBrains Mono" w:eastAsia="JetBrains Mono" w:hAnsi="JetBrains Mono"/>
          <w:color w:val="A8341F"/>
          <w:sz w:val="18"/>
          <w:szCs w:val="18"/>
        </w:rPr>
        <w:t xml:space="preserve">01	</w:t>
      </w:r>
      <w:r>
        <w:rPr>
          <w:rFonts w:ascii="Cormorant Garamond" w:cs="Cormorant Garamond" w:eastAsia="Cormorant Garamond" w:hAnsi="Cormorant Garamond"/>
          <w:b/>
          <w:bCs/>
          <w:color w:val="1F1F1F"/>
          <w:sz w:val="21"/>
          <w:szCs w:val="21"/>
        </w:rPr>
        <w:t xml:space="preserve">Run two Verdicts by hand.</w:t>
      </w:r>
      <w:r>
        <w:rPr>
          <w:rFonts w:ascii="Cormorant Garamond" w:cs="Cormorant Garamond" w:eastAsia="Cormorant Garamond" w:hAnsi="Cormorant Garamond"/>
          <w:color w:val="1F1F1F"/>
          <w:sz w:val="21"/>
          <w:szCs w:val="21"/>
        </w:rPr>
        <w:t xml:space="preserve"> A spreadsheet for the rubric and blind scores, a Word memo in house style. Use a live finance hire inside an existing Daftar relationship in Jordan or the UAE. Time every step. This produces the real rubric templates and the real memo template the app will encode.</w:t>
      </w:r>
    </w:p>
    <w:p>
      <w:pPr>
        <w:spacing w:after="100"/>
        <w:ind w:left="540" w:hanging="540"/>
      </w:pPr>
      <w:r>
        <w:rPr>
          <w:rFonts w:ascii="JetBrains Mono" w:cs="JetBrains Mono" w:eastAsia="JetBrains Mono" w:hAnsi="JetBrains Mono"/>
          <w:color w:val="A8341F"/>
          <w:sz w:val="18"/>
          <w:szCs w:val="18"/>
        </w:rPr>
        <w:t xml:space="preserve">02	</w:t>
      </w:r>
      <w:r>
        <w:rPr>
          <w:rFonts w:ascii="Cormorant Garamond" w:cs="Cormorant Garamond" w:eastAsia="Cormorant Garamond" w:hAnsi="Cormorant Garamond"/>
          <w:b/>
          <w:bCs/>
          <w:color w:val="1F1F1F"/>
          <w:sz w:val="21"/>
          <w:szCs w:val="21"/>
        </w:rPr>
        <w:t xml:space="preserve">Get a counsel note</w:t>
      </w:r>
      <w:r>
        <w:rPr>
          <w:rFonts w:ascii="Cormorant Garamond" w:cs="Cormorant Garamond" w:eastAsia="Cormorant Garamond" w:hAnsi="Cormorant Garamond"/>
          <w:color w:val="1F1F1F"/>
          <w:sz w:val="21"/>
          <w:szCs w:val="21"/>
        </w:rPr>
        <w:t xml:space="preserve"> on candidate notice, lawful basis and retention for Jordan and the UAE. One page. It sets the guardrail defaults.</w:t>
      </w:r>
    </w:p>
    <w:p>
      <w:pPr>
        <w:spacing w:after="100"/>
        <w:ind w:left="540" w:hanging="540"/>
      </w:pPr>
      <w:r>
        <w:rPr>
          <w:rFonts w:ascii="JetBrains Mono" w:cs="JetBrains Mono" w:eastAsia="JetBrains Mono" w:hAnsi="JetBrains Mono"/>
          <w:color w:val="A8341F"/>
          <w:sz w:val="18"/>
          <w:szCs w:val="18"/>
        </w:rPr>
        <w:t xml:space="preserve">03	</w:t>
      </w:r>
      <w:r>
        <w:rPr>
          <w:rFonts w:ascii="Cormorant Garamond" w:cs="Cormorant Garamond" w:eastAsia="Cormorant Garamond" w:hAnsi="Cormorant Garamond"/>
          <w:b/>
          <w:bCs/>
          <w:color w:val="1F1F1F"/>
          <w:sz w:val="21"/>
          <w:szCs w:val="21"/>
        </w:rPr>
        <w:t xml:space="preserve">Write the allowed and prohibited use policy</w:t>
      </w:r>
      <w:r>
        <w:rPr>
          <w:rFonts w:ascii="Cormorant Garamond" w:cs="Cormorant Garamond" w:eastAsia="Cormorant Garamond" w:hAnsi="Cormorant Garamond"/>
          <w:color w:val="1F1F1F"/>
          <w:sz w:val="21"/>
          <w:szCs w:val="21"/>
        </w:rPr>
        <w:t xml:space="preserve"> as a one page document. It becomes the acknowledgement screen.</w:t>
      </w:r>
    </w:p>
    <w:p>
      <w:pPr>
        <w:spacing w:after="100"/>
        <w:ind w:left="540" w:hanging="540"/>
      </w:pPr>
      <w:r>
        <w:rPr>
          <w:rFonts w:ascii="JetBrains Mono" w:cs="JetBrains Mono" w:eastAsia="JetBrains Mono" w:hAnsi="JetBrains Mono"/>
          <w:color w:val="A8341F"/>
          <w:sz w:val="18"/>
          <w:szCs w:val="18"/>
        </w:rPr>
        <w:t xml:space="preserve">04	</w:t>
      </w:r>
      <w:r>
        <w:rPr>
          <w:rFonts w:ascii="Cormorant Garamond" w:cs="Cormorant Garamond" w:eastAsia="Cormorant Garamond" w:hAnsi="Cormorant Garamond"/>
          <w:b/>
          <w:bCs/>
          <w:color w:val="1F1F1F"/>
          <w:sz w:val="21"/>
          <w:szCs w:val="21"/>
        </w:rPr>
        <w:t xml:space="preserve">Open the outcome register</w:t>
      </w:r>
      <w:r>
        <w:rPr>
          <w:rFonts w:ascii="Cormorant Garamond" w:cs="Cormorant Garamond" w:eastAsia="Cormorant Garamond" w:hAnsi="Cormorant Garamond"/>
          <w:color w:val="1F1F1F"/>
          <w:sz w:val="21"/>
          <w:szCs w:val="21"/>
        </w:rPr>
        <w:t xml:space="preserve"> as a spreadsheet. The app will import it.</w:t>
      </w:r>
    </w:p>
    <w:p>
      <w:pPr>
        <w:spacing w:after="100"/>
        <w:ind w:left="540" w:hanging="540"/>
      </w:pPr>
      <w:r>
        <w:rPr>
          <w:rFonts w:ascii="JetBrains Mono" w:cs="JetBrains Mono" w:eastAsia="JetBrains Mono" w:hAnsi="JetBrains Mono"/>
          <w:color w:val="A8341F"/>
          <w:sz w:val="18"/>
          <w:szCs w:val="18"/>
        </w:rPr>
        <w:t xml:space="preserve">05	</w:t>
      </w:r>
      <w:r>
        <w:rPr>
          <w:rFonts w:ascii="Cormorant Garamond" w:cs="Cormorant Garamond" w:eastAsia="Cormorant Garamond" w:hAnsi="Cormorant Garamond"/>
          <w:b/>
          <w:bCs/>
          <w:color w:val="1F1F1F"/>
          <w:sz w:val="21"/>
          <w:szCs w:val="21"/>
        </w:rPr>
        <w:t xml:space="preserve">Strip the live site</w:t>
      </w:r>
      <w:r>
        <w:rPr>
          <w:rFonts w:ascii="Cormorant Garamond" w:cs="Cormorant Garamond" w:eastAsia="Cormorant Garamond" w:hAnsi="Cormorant Garamond"/>
          <w:color w:val="1F1F1F"/>
          <w:sz w:val="21"/>
          <w:szCs w:val="21"/>
        </w:rPr>
        <w:t xml:space="preserve"> to one page, one offer, one price, per the pivot strategy weeks 6 to 8. Replace "hiring diagnostic" with "Calibre Verdict" everywhere and either source or remove the "Δ 41 pts" figure.</w:t>
      </w:r>
    </w:p>
    <w:p>
      <w:r>
        <w:rPr>
          <w:rFonts w:ascii="Cormorant Garamond" w:cs="Cormorant Garamond" w:eastAsia="Cormorant Garamond" w:hAnsi="Cormorant Garamond"/>
          <w:color w:val="1F1F1F"/>
          <w:sz w:val="21"/>
          <w:szCs w:val="21"/>
        </w:rPr>
        <w:t xml:space="preserve">Only after step 1 has been sold twice does the build begin.</w:t>
      </w:r>
    </w:p>
    <w:p>
      <w:pPr>
        <w:spacing w:after="40" w:before="360"/>
      </w:pPr>
      <w:r>
        <w:rPr>
          <w:rFonts w:ascii="JetBrains Mono" w:cs="JetBrains Mono" w:eastAsia="JetBrains Mono" w:hAnsi="JetBrains Mono"/>
          <w:color w:val="C8A27A"/>
          <w:sz w:val="17"/>
          <w:szCs w:val="17"/>
        </w:rPr>
        <w:t xml:space="preserve">09  —————</w:t>
      </w:r>
    </w:p>
    <w:p>
      <w:pPr>
        <w:pStyle w:val="Heading1"/>
        <w:spacing w:after="120" w:before="0"/>
      </w:pPr>
      <w:r>
        <w:rPr>
          <w:rFonts w:ascii="Inter" w:cs="Inter" w:eastAsia="Inter" w:hAnsi="Inter"/>
          <w:b/>
          <w:bCs/>
          <w:color w:val="A8341F"/>
          <w:sz w:val="28"/>
          <w:szCs w:val="28"/>
        </w:rPr>
        <w:t xml:space="preserve">Build sequence, once it begins</w:t>
      </w:r>
    </w:p>
    <w:p>
      <w:r>
        <w:rPr>
          <w:rFonts w:ascii="Cormorant Garamond" w:cs="Cormorant Garamond" w:eastAsia="Cormorant Garamond" w:hAnsi="Cormorant Garamond"/>
          <w:color w:val="1F1F1F"/>
          <w:sz w:val="21"/>
          <w:szCs w:val="21"/>
        </w:rPr>
        <w:t xml:space="preserve">At ten productive hours a week the MVP is roughly twelve weeks. Order it so that a paid Verdict can run through the app as early as possible.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863"/>
        <w:gridCol w:w="4288"/>
        <w:gridCol w:w="3921"/>
      </w:tblGrid>
      <w:tr>
        <w:trPr>
          <w:tblHeader/>
        </w:trPr>
        <w:tc>
          <w:tcPr>
            <w:tcW w:type="dxa" w:w="863"/>
            <w:tcBorders>
              <w:top w:val="single" w:color="C8A27A" w:sz="4"/>
              <w:left w:val="none" w:color="FFFFFF" w:sz="0"/>
              <w:bottom w:val="single" w:color="C8A27A" w:sz="4"/>
              <w:right w:val="none" w:color="FFFFFF" w:sz="0"/>
            </w:tcBorders>
            <w:shd w:fill="1A1410" w:val="clear"/>
            <w:tcMar>
              <w:top w:type="dxa" w:w="90"/>
              <w:left w:type="dxa" w:w="110"/>
              <w:bottom w:type="dxa" w:w="90"/>
              <w:right w:type="dxa" w:w="110"/>
            </w:tcMar>
          </w:tcPr>
          <w:p>
            <w:pPr>
              <w:spacing w:after="0" w:line="276"/>
              <w:jc w:val="left"/>
            </w:pPr>
            <w:r>
              <w:rPr>
                <w:rFonts w:ascii="Inter" w:cs="Inter" w:eastAsia="Inter" w:hAnsi="Inter"/>
                <w:b/>
                <w:bCs/>
                <w:color w:val="FFFFFF"/>
                <w:sz w:val="18"/>
                <w:szCs w:val="18"/>
              </w:rPr>
              <w:t xml:space="preserve">Weeks</w:t>
            </w:r>
          </w:p>
        </w:tc>
        <w:tc>
          <w:tcPr>
            <w:tcW w:type="dxa" w:w="4288"/>
            <w:tcBorders>
              <w:top w:val="single" w:color="C8A27A" w:sz="4"/>
              <w:left w:val="none" w:color="FFFFFF" w:sz="0"/>
              <w:bottom w:val="single" w:color="C8A27A" w:sz="4"/>
              <w:right w:val="none" w:color="FFFFFF" w:sz="0"/>
            </w:tcBorders>
            <w:shd w:fill="1A1410" w:val="clear"/>
            <w:tcMar>
              <w:top w:type="dxa" w:w="90"/>
              <w:left w:type="dxa" w:w="110"/>
              <w:bottom w:type="dxa" w:w="90"/>
              <w:right w:type="dxa" w:w="110"/>
            </w:tcMar>
          </w:tcPr>
          <w:p>
            <w:pPr>
              <w:spacing w:after="0" w:line="276"/>
              <w:jc w:val="left"/>
            </w:pPr>
            <w:r>
              <w:rPr>
                <w:rFonts w:ascii="Inter" w:cs="Inter" w:eastAsia="Inter" w:hAnsi="Inter"/>
                <w:b/>
                <w:bCs/>
                <w:color w:val="FFFFFF"/>
                <w:sz w:val="18"/>
                <w:szCs w:val="18"/>
              </w:rPr>
              <w:t xml:space="preserve">Build</w:t>
            </w:r>
          </w:p>
        </w:tc>
        <w:tc>
          <w:tcPr>
            <w:tcW w:type="dxa" w:w="3921"/>
            <w:tcBorders>
              <w:top w:val="single" w:color="C8A27A" w:sz="4"/>
              <w:left w:val="none" w:color="FFFFFF" w:sz="0"/>
              <w:bottom w:val="single" w:color="C8A27A" w:sz="4"/>
              <w:right w:val="none" w:color="FFFFFF" w:sz="0"/>
            </w:tcBorders>
            <w:shd w:fill="1A1410" w:val="clear"/>
            <w:tcMar>
              <w:top w:type="dxa" w:w="90"/>
              <w:left w:type="dxa" w:w="110"/>
              <w:bottom w:type="dxa" w:w="90"/>
              <w:right w:type="dxa" w:w="110"/>
            </w:tcMar>
          </w:tcPr>
          <w:p>
            <w:pPr>
              <w:spacing w:after="0" w:line="276"/>
              <w:jc w:val="left"/>
            </w:pPr>
            <w:r>
              <w:rPr>
                <w:rFonts w:ascii="Inter" w:cs="Inter" w:eastAsia="Inter" w:hAnsi="Inter"/>
                <w:b/>
                <w:bCs/>
                <w:color w:val="FFFFFF"/>
                <w:sz w:val="18"/>
                <w:szCs w:val="18"/>
              </w:rPr>
              <w:t xml:space="preserve">Proves</w:t>
            </w:r>
          </w:p>
        </w:tc>
      </w:tr>
      <w:tr>
        <w:tc>
          <w:tcPr>
            <w:tcW w:type="dxa" w:w="863"/>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1 to 2</w:t>
            </w:r>
          </w:p>
        </w:tc>
        <w:tc>
          <w:tcPr>
            <w:tcW w:type="dxa" w:w="4288"/>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Workspace, magic link auth, panel invites, database schema with RLS</w:t>
            </w:r>
          </w:p>
        </w:tc>
        <w:tc>
          <w:tcPr>
            <w:tcW w:type="dxa" w:w="3921"/>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Tenancy and access are right before any data exists.</w:t>
            </w:r>
          </w:p>
        </w:tc>
      </w:tr>
      <w:tr>
        <w:tc>
          <w:tcPr>
            <w:tcW w:type="dxa" w:w="863"/>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3 to 4</w:t>
            </w:r>
          </w:p>
        </w:tc>
        <w:tc>
          <w:tcPr>
            <w:tcW w:type="dxa" w:w="4288"/>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Role brief, rubric builder from the two templates, lock and amendments</w:t>
            </w:r>
          </w:p>
        </w:tc>
        <w:tc>
          <w:tcPr>
            <w:tcW w:type="dxa" w:w="3921"/>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The integrity claim.</w:t>
            </w:r>
          </w:p>
        </w:tc>
      </w:tr>
      <w:tr>
        <w:tc>
          <w:tcPr>
            <w:tcW w:type="dxa" w:w="863"/>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5 to 6</w:t>
            </w:r>
          </w:p>
        </w:tc>
        <w:tc>
          <w:tcPr>
            <w:tcW w:type="dxa" w:w="4288"/>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Finalists, blind scoring with evidence notes</w:t>
            </w:r>
          </w:p>
        </w:tc>
        <w:tc>
          <w:tcPr>
            <w:tcW w:type="dxa" w:w="3921"/>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Half the loop. Run Verdict three here, with you as one panelist.</w:t>
            </w:r>
          </w:p>
        </w:tc>
      </w:tr>
      <w:tr>
        <w:tc>
          <w:tcPr>
            <w:tcW w:type="dxa" w:w="863"/>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7 to 8</w:t>
            </w:r>
          </w:p>
        </w:tc>
        <w:tc>
          <w:tcPr>
            <w:tcW w:type="dxa" w:w="4288"/>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Divergence view, calibration with reasons</w:t>
            </w:r>
          </w:p>
        </w:tc>
        <w:tc>
          <w:tcPr>
            <w:tcW w:type="dxa" w:w="3921"/>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The whole loop. Run Verdict four fully in the app.</w:t>
            </w:r>
          </w:p>
        </w:tc>
      </w:tr>
      <w:tr>
        <w:tc>
          <w:tcPr>
            <w:tcW w:type="dxa" w:w="863"/>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9 to 10</w:t>
            </w:r>
          </w:p>
        </w:tc>
        <w:tc>
          <w:tcPr>
            <w:tcW w:type="dxa" w:w="4288"/>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Memo generation in house style, outcome prompts</w:t>
            </w:r>
          </w:p>
        </w:tc>
        <w:tc>
          <w:tcPr>
            <w:tcW w:type="dxa" w:w="3921"/>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The paid output and the register.</w:t>
            </w:r>
          </w:p>
        </w:tc>
      </w:tr>
      <w:tr>
        <w:tc>
          <w:tcPr>
            <w:tcW w:type="dxa" w:w="863"/>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11 to 12</w:t>
            </w:r>
          </w:p>
        </w:tc>
        <w:tc>
          <w:tcPr>
            <w:tcW w:type="dxa" w:w="4288"/>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Guardrails, retention deletion, audit log review, Playwright loop test</w:t>
            </w:r>
          </w:p>
        </w:tc>
        <w:tc>
          <w:tcPr>
            <w:tcW w:type="dxa" w:w="3921"/>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Safe to hand to a client panel without you present.</w:t>
            </w:r>
          </w:p>
        </w:tc>
      </w:tr>
    </w:tbl>
    <w:p>
      <w:pPr>
        <w:spacing w:after="120"/>
      </w:pPr>
    </w:p>
    <w:p>
      <w:pPr>
        <w:spacing w:after="40" w:before="360"/>
      </w:pPr>
      <w:r>
        <w:rPr>
          <w:rFonts w:ascii="JetBrains Mono" w:cs="JetBrains Mono" w:eastAsia="JetBrains Mono" w:hAnsi="JetBrains Mono"/>
          <w:color w:val="C8A27A"/>
          <w:sz w:val="17"/>
          <w:szCs w:val="17"/>
        </w:rPr>
        <w:t xml:space="preserve">10  —————</w:t>
      </w:r>
    </w:p>
    <w:p>
      <w:pPr>
        <w:pStyle w:val="Heading1"/>
        <w:spacing w:after="120" w:before="0"/>
      </w:pPr>
      <w:r>
        <w:rPr>
          <w:rFonts w:ascii="Inter" w:cs="Inter" w:eastAsia="Inter" w:hAnsi="Inter"/>
          <w:b/>
          <w:bCs/>
          <w:color w:val="A8341F"/>
          <w:sz w:val="28"/>
          <w:szCs w:val="28"/>
        </w:rPr>
        <w:t xml:space="preserve">Success metrics and kill criteria</w:t>
      </w:r>
    </w:p>
    <w:p>
      <w:r>
        <w:rPr>
          <w:rFonts w:ascii="Cormorant Garamond" w:cs="Cormorant Garamond" w:eastAsia="Cormorant Garamond" w:hAnsi="Cormorant Garamond"/>
          <w:color w:val="1F1F1F"/>
          <w:sz w:val="21"/>
          <w:szCs w:val="21"/>
        </w:rPr>
        <w:t xml:space="preserve">Carried over from your existing documents, with the software added.</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131"/>
        <w:gridCol w:w="3906"/>
        <w:gridCol w:w="3035"/>
      </w:tblGrid>
      <w:tr>
        <w:trPr>
          <w:tblHeader/>
        </w:trPr>
        <w:tc>
          <w:tcPr>
            <w:tcW w:type="dxa" w:w="2131"/>
            <w:tcBorders>
              <w:top w:val="single" w:color="C8A27A" w:sz="4"/>
              <w:left w:val="none" w:color="FFFFFF" w:sz="0"/>
              <w:bottom w:val="single" w:color="C8A27A" w:sz="4"/>
              <w:right w:val="none" w:color="FFFFFF" w:sz="0"/>
            </w:tcBorders>
            <w:shd w:fill="1A1410" w:val="clear"/>
            <w:tcMar>
              <w:top w:type="dxa" w:w="90"/>
              <w:left w:type="dxa" w:w="110"/>
              <w:bottom w:type="dxa" w:w="90"/>
              <w:right w:type="dxa" w:w="110"/>
            </w:tcMar>
          </w:tcPr>
          <w:p>
            <w:pPr>
              <w:spacing w:after="0" w:line="276"/>
              <w:jc w:val="left"/>
            </w:pPr>
            <w:r>
              <w:rPr>
                <w:rFonts w:ascii="Inter" w:cs="Inter" w:eastAsia="Inter" w:hAnsi="Inter"/>
                <w:b/>
                <w:bCs/>
                <w:color w:val="FFFFFF"/>
                <w:sz w:val="18"/>
                <w:szCs w:val="18"/>
              </w:rPr>
              <w:t xml:space="preserve">Metric</w:t>
            </w:r>
          </w:p>
        </w:tc>
        <w:tc>
          <w:tcPr>
            <w:tcW w:type="dxa" w:w="3906"/>
            <w:tcBorders>
              <w:top w:val="single" w:color="C8A27A" w:sz="4"/>
              <w:left w:val="none" w:color="FFFFFF" w:sz="0"/>
              <w:bottom w:val="single" w:color="C8A27A" w:sz="4"/>
              <w:right w:val="none" w:color="FFFFFF" w:sz="0"/>
            </w:tcBorders>
            <w:shd w:fill="1A1410" w:val="clear"/>
            <w:tcMar>
              <w:top w:type="dxa" w:w="90"/>
              <w:left w:type="dxa" w:w="110"/>
              <w:bottom w:type="dxa" w:w="90"/>
              <w:right w:type="dxa" w:w="110"/>
            </w:tcMar>
          </w:tcPr>
          <w:p>
            <w:pPr>
              <w:spacing w:after="0" w:line="276"/>
              <w:jc w:val="left"/>
            </w:pPr>
            <w:r>
              <w:rPr>
                <w:rFonts w:ascii="Inter" w:cs="Inter" w:eastAsia="Inter" w:hAnsi="Inter"/>
                <w:b/>
                <w:bCs/>
                <w:color w:val="FFFFFF"/>
                <w:sz w:val="18"/>
                <w:szCs w:val="18"/>
              </w:rPr>
              <w:t xml:space="preserve">Target</w:t>
            </w:r>
          </w:p>
        </w:tc>
        <w:tc>
          <w:tcPr>
            <w:tcW w:type="dxa" w:w="3035"/>
            <w:tcBorders>
              <w:top w:val="single" w:color="C8A27A" w:sz="4"/>
              <w:left w:val="none" w:color="FFFFFF" w:sz="0"/>
              <w:bottom w:val="single" w:color="C8A27A" w:sz="4"/>
              <w:right w:val="none" w:color="FFFFFF" w:sz="0"/>
            </w:tcBorders>
            <w:shd w:fill="1A1410" w:val="clear"/>
            <w:tcMar>
              <w:top w:type="dxa" w:w="90"/>
              <w:left w:type="dxa" w:w="110"/>
              <w:bottom w:type="dxa" w:w="90"/>
              <w:right w:type="dxa" w:w="110"/>
            </w:tcMar>
          </w:tcPr>
          <w:p>
            <w:pPr>
              <w:spacing w:after="0" w:line="276"/>
              <w:jc w:val="left"/>
            </w:pPr>
            <w:r>
              <w:rPr>
                <w:rFonts w:ascii="Inter" w:cs="Inter" w:eastAsia="Inter" w:hAnsi="Inter"/>
                <w:b/>
                <w:bCs/>
                <w:color w:val="FFFFFF"/>
                <w:sz w:val="18"/>
                <w:szCs w:val="18"/>
              </w:rPr>
              <w:t xml:space="preserve">Consequence of missing it</w:t>
            </w:r>
          </w:p>
        </w:tc>
      </w:tr>
      <w:tr>
        <w:tc>
          <w:tcPr>
            <w:tcW w:type="dxa" w:w="2131"/>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Paid Verdicts in the first 6 months after the manual pack is ready</w:t>
            </w:r>
          </w:p>
        </w:tc>
        <w:tc>
          <w:tcPr>
            <w:tcW w:type="dxa" w:w="3906"/>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3 or more</w:t>
            </w:r>
          </w:p>
        </w:tc>
        <w:tc>
          <w:tcPr>
            <w:tcW w:type="dxa" w:w="3035"/>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Fewer: stop the build, keep the Verdict as an unadvertised Daftar line item.</w:t>
            </w:r>
          </w:p>
        </w:tc>
      </w:tr>
      <w:tr>
        <w:tc>
          <w:tcPr>
            <w:tcW w:type="dxa" w:w="2131"/>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Paid Verdicts in 12 months</w:t>
            </w:r>
          </w:p>
        </w:tc>
        <w:tc>
          <w:tcPr>
            <w:tcW w:type="dxa" w:w="3906"/>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Enough to hit the pivot strategy threshold of 3, and at least 2 run through the app by a client panel without you scoring</w:t>
            </w:r>
          </w:p>
        </w:tc>
        <w:tc>
          <w:tcPr>
            <w:tcW w:type="dxa" w:w="3035"/>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Fewer: no Separate stage, no Calibre Panel tier.</w:t>
            </w:r>
          </w:p>
        </w:tc>
      </w:tr>
      <w:tr>
        <w:tc>
          <w:tcPr>
            <w:tcW w:type="dxa" w:w="2131"/>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Founder hours per Verdict</w:t>
            </w:r>
          </w:p>
        </w:tc>
        <w:tc>
          <w:tcPr>
            <w:tcW w:type="dxa" w:w="3906"/>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Falling from 6 toward 2 by Verdict ten</w:t>
            </w:r>
          </w:p>
        </w:tc>
        <w:tc>
          <w:tcPr>
            <w:tcW w:type="dxa" w:w="3035"/>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Flat: the software is not doing its job of separating delivery from your hands.</w:t>
            </w:r>
          </w:p>
        </w:tc>
      </w:tr>
      <w:tr>
        <w:tc>
          <w:tcPr>
            <w:tcW w:type="dxa" w:w="2131"/>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Outcome register completeness</w:t>
            </w:r>
          </w:p>
        </w:tc>
        <w:tc>
          <w:tcPr>
            <w:tcW w:type="dxa" w:w="3906"/>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Every Verdict has 90 day data</w:t>
            </w:r>
          </w:p>
        </w:tc>
        <w:tc>
          <w:tcPr>
            <w:tcW w:type="dxa" w:w="3035"/>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Gaps: do not scale, per the assessment.</w:t>
            </w:r>
          </w:p>
        </w:tc>
      </w:tr>
      <w:tr>
        <w:tc>
          <w:tcPr>
            <w:tcW w:type="dxa" w:w="2131"/>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Conflict or privacy incident</w:t>
            </w:r>
          </w:p>
        </w:tc>
        <w:tc>
          <w:tcPr>
            <w:tcW w:type="dxa" w:w="3906"/>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Zero</w:t>
            </w:r>
          </w:p>
        </w:tc>
        <w:tc>
          <w:tcPr>
            <w:tcW w:type="dxa" w:w="3035"/>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One: stop, per the pivot strategy.</w:t>
            </w:r>
          </w:p>
        </w:tc>
      </w:tr>
      <w:tr>
        <w:tc>
          <w:tcPr>
            <w:tcW w:type="dxa" w:w="2131"/>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Buyer asks for psychometric validation</w:t>
            </w:r>
          </w:p>
        </w:tc>
        <w:tc>
          <w:tcPr>
            <w:tcW w:type="dxa" w:w="3906"/>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Rare</w:t>
            </w:r>
          </w:p>
        </w:tc>
        <w:tc>
          <w:tcPr>
            <w:tcW w:type="dxa" w:w="3035"/>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Repeated: the market is pulling Calibre into a category it must not enter. Reposition or stop.</w:t>
            </w:r>
          </w:p>
        </w:tc>
      </w:tr>
    </w:tbl>
    <w:p>
      <w:pPr>
        <w:spacing w:after="120"/>
      </w:pPr>
    </w:p>
    <w:p>
      <w:pPr>
        <w:spacing w:after="40" w:before="360"/>
      </w:pPr>
      <w:r>
        <w:rPr>
          <w:rFonts w:ascii="JetBrains Mono" w:cs="JetBrains Mono" w:eastAsia="JetBrains Mono" w:hAnsi="JetBrains Mono"/>
          <w:color w:val="C8A27A"/>
          <w:sz w:val="17"/>
          <w:szCs w:val="17"/>
        </w:rPr>
        <w:t xml:space="preserve">11  —————</w:t>
      </w:r>
    </w:p>
    <w:p>
      <w:pPr>
        <w:pStyle w:val="Heading1"/>
        <w:spacing w:after="120" w:before="0"/>
      </w:pPr>
      <w:r>
        <w:rPr>
          <w:rFonts w:ascii="Inter" w:cs="Inter" w:eastAsia="Inter" w:hAnsi="Inter"/>
          <w:b/>
          <w:bCs/>
          <w:color w:val="A8341F"/>
          <w:sz w:val="28"/>
          <w:szCs w:val="28"/>
        </w:rPr>
        <w:t xml:space="preserve">Open decisions for the founder</w:t>
      </w:r>
    </w:p>
    <w:p>
      <w:r>
        <w:rPr>
          <w:rFonts w:ascii="Cormorant Garamond" w:cs="Cormorant Garamond" w:eastAsia="Cormorant Garamond" w:hAnsi="Cormorant Garamond"/>
          <w:color w:val="1F1F1F"/>
          <w:sz w:val="21"/>
          <w:szCs w:val="21"/>
        </w:rPr>
        <w:t xml:space="preserve">These change the work materially and only you can settle them.</w:t>
      </w:r>
    </w:p>
    <w:p>
      <w:pPr>
        <w:spacing w:after="100"/>
        <w:ind w:left="540" w:hanging="540"/>
      </w:pPr>
      <w:r>
        <w:rPr>
          <w:rFonts w:ascii="JetBrains Mono" w:cs="JetBrains Mono" w:eastAsia="JetBrains Mono" w:hAnsi="JetBrains Mono"/>
          <w:color w:val="A8341F"/>
          <w:sz w:val="18"/>
          <w:szCs w:val="18"/>
        </w:rPr>
        <w:t xml:space="preserve">01	</w:t>
      </w:r>
      <w:r>
        <w:rPr>
          <w:rFonts w:ascii="Cormorant Garamond" w:cs="Cormorant Garamond" w:eastAsia="Cormorant Garamond" w:hAnsi="Cormorant Garamond"/>
          <w:b/>
          <w:bCs/>
          <w:color w:val="1F1F1F"/>
          <w:sz w:val="21"/>
          <w:szCs w:val="21"/>
        </w:rPr>
        <w:t xml:space="preserve">Is the software allowed to start before three paid manual Verdicts?</w:t>
      </w:r>
      <w:r>
        <w:rPr>
          <w:rFonts w:ascii="Cormorant Garamond" w:cs="Cormorant Garamond" w:eastAsia="Cormorant Garamond" w:hAnsi="Cormorant Garamond"/>
          <w:color w:val="1F1F1F"/>
          <w:sz w:val="21"/>
          <w:szCs w:val="21"/>
        </w:rPr>
        <w:t xml:space="preserve"> This document says no. If you overrule it, say so in writing so the decision is recorded.</w:t>
      </w:r>
    </w:p>
    <w:p>
      <w:pPr>
        <w:spacing w:after="100"/>
        <w:ind w:left="540" w:hanging="540"/>
      </w:pPr>
      <w:r>
        <w:rPr>
          <w:rFonts w:ascii="JetBrains Mono" w:cs="JetBrains Mono" w:eastAsia="JetBrains Mono" w:hAnsi="JetBrains Mono"/>
          <w:color w:val="A8341F"/>
          <w:sz w:val="18"/>
          <w:szCs w:val="18"/>
        </w:rPr>
        <w:t xml:space="preserve">02	</w:t>
      </w:r>
      <w:r>
        <w:rPr>
          <w:rFonts w:ascii="Cormorant Garamond" w:cs="Cormorant Garamond" w:eastAsia="Cormorant Garamond" w:hAnsi="Cormorant Garamond"/>
          <w:b/>
          <w:bCs/>
          <w:color w:val="1F1F1F"/>
          <w:sz w:val="21"/>
          <w:szCs w:val="21"/>
        </w:rPr>
        <w:t xml:space="preserve">Entity and invoicing.</w:t>
      </w:r>
      <w:r>
        <w:rPr>
          <w:rFonts w:ascii="Cormorant Garamond" w:cs="Cormorant Garamond" w:eastAsia="Cormorant Garamond" w:hAnsi="Cormorant Garamond"/>
          <w:color w:val="1F1F1F"/>
          <w:sz w:val="21"/>
          <w:szCs w:val="21"/>
        </w:rPr>
        <w:t xml:space="preserve"> Daftar invoices until Separate. Confirm, because it decides whether billing is ever in scope.</w:t>
      </w:r>
    </w:p>
    <w:p>
      <w:pPr>
        <w:spacing w:after="100"/>
        <w:ind w:left="540" w:hanging="540"/>
      </w:pPr>
      <w:r>
        <w:rPr>
          <w:rFonts w:ascii="JetBrains Mono" w:cs="JetBrains Mono" w:eastAsia="JetBrains Mono" w:hAnsi="JetBrains Mono"/>
          <w:color w:val="A8341F"/>
          <w:sz w:val="18"/>
          <w:szCs w:val="18"/>
        </w:rPr>
        <w:t xml:space="preserve">03	</w:t>
      </w:r>
      <w:r>
        <w:rPr>
          <w:rFonts w:ascii="Cormorant Garamond" w:cs="Cormorant Garamond" w:eastAsia="Cormorant Garamond" w:hAnsi="Cormorant Garamond"/>
          <w:b/>
          <w:bCs/>
          <w:color w:val="1F1F1F"/>
          <w:sz w:val="21"/>
          <w:szCs w:val="21"/>
        </w:rPr>
        <w:t xml:space="preserve">Data region.</w:t>
      </w:r>
      <w:r>
        <w:rPr>
          <w:rFonts w:ascii="Cormorant Garamond" w:cs="Cormorant Garamond" w:eastAsia="Cormorant Garamond" w:hAnsi="Cormorant Garamond"/>
          <w:color w:val="1F1F1F"/>
          <w:sz w:val="21"/>
          <w:szCs w:val="21"/>
        </w:rPr>
        <w:t xml:space="preserve"> Frankfurt by default, pending counsel. Confirm or redirect.</w:t>
      </w:r>
    </w:p>
    <w:p>
      <w:pPr>
        <w:spacing w:after="100"/>
        <w:ind w:left="540" w:hanging="540"/>
      </w:pPr>
      <w:r>
        <w:rPr>
          <w:rFonts w:ascii="JetBrains Mono" w:cs="JetBrains Mono" w:eastAsia="JetBrains Mono" w:hAnsi="JetBrains Mono"/>
          <w:color w:val="A8341F"/>
          <w:sz w:val="18"/>
          <w:szCs w:val="18"/>
        </w:rPr>
        <w:t xml:space="preserve">04	</w:t>
      </w:r>
      <w:r>
        <w:rPr>
          <w:rFonts w:ascii="Cormorant Garamond" w:cs="Cormorant Garamond" w:eastAsia="Cormorant Garamond" w:hAnsi="Cormorant Garamond"/>
          <w:b/>
          <w:bCs/>
          <w:color w:val="1F1F1F"/>
          <w:sz w:val="21"/>
          <w:szCs w:val="21"/>
        </w:rPr>
        <w:t xml:space="preserve">The "Δ 41 pts" figure on the live site.</w:t>
      </w:r>
      <w:r>
        <w:rPr>
          <w:rFonts w:ascii="Cormorant Garamond" w:cs="Cormorant Garamond" w:eastAsia="Cormorant Garamond" w:hAnsi="Cormorant Garamond"/>
          <w:color w:val="1F1F1F"/>
          <w:sz w:val="21"/>
          <w:szCs w:val="21"/>
        </w:rPr>
        <w:t xml:space="preserve"> Source it or remove it. The brand file flags it as unsourced.</w:t>
      </w:r>
    </w:p>
    <w:p>
      <w:pPr>
        <w:spacing w:after="100"/>
        <w:ind w:left="540" w:hanging="540"/>
      </w:pPr>
      <w:r>
        <w:rPr>
          <w:rFonts w:ascii="JetBrains Mono" w:cs="JetBrains Mono" w:eastAsia="JetBrains Mono" w:hAnsi="JetBrains Mono"/>
          <w:color w:val="A8341F"/>
          <w:sz w:val="18"/>
          <w:szCs w:val="18"/>
        </w:rPr>
        <w:t xml:space="preserve">05	</w:t>
      </w:r>
      <w:r>
        <w:rPr>
          <w:rFonts w:ascii="Cormorant Garamond" w:cs="Cormorant Garamond" w:eastAsia="Cormorant Garamond" w:hAnsi="Cormorant Garamond"/>
          <w:b/>
          <w:bCs/>
          <w:color w:val="1F1F1F"/>
          <w:sz w:val="21"/>
          <w:szCs w:val="21"/>
        </w:rPr>
        <w:t xml:space="preserve">Whether "Calibre Panel" self serve is a goal at all</w:t>
      </w:r>
      <w:r>
        <w:rPr>
          <w:rFonts w:ascii="Cormorant Garamond" w:cs="Cormorant Garamond" w:eastAsia="Cormorant Garamond" w:hAnsi="Cormorant Garamond"/>
          <w:color w:val="1F1F1F"/>
          <w:sz w:val="21"/>
          <w:szCs w:val="21"/>
        </w:rPr>
        <w:t xml:space="preserve">, or whether Calibre stays a founder delivered Verdict with software behind it. The MVP is the same either way, which is why the decision can wait, but the Separate stage cannot start without it.</w:t>
      </w:r>
    </w:p>
    <w:p>
      <w:r>
        <w:br w:type="page"/>
      </w:r>
    </w:p>
    <w:p>
      <w:pPr>
        <w:spacing w:after="80" w:before="1200"/>
      </w:pPr>
      <w:r>
        <w:rPr>
          <w:rFonts w:ascii="JetBrains Mono" w:cs="JetBrains Mono" w:eastAsia="JetBrains Mono" w:hAnsi="JetBrains Mono"/>
          <w:color w:val="C8A27A"/>
          <w:sz w:val="17"/>
          <w:szCs w:val="17"/>
        </w:rPr>
        <w:t xml:space="preserve">PART II</w:t>
      </w:r>
    </w:p>
    <w:p>
      <w:pPr>
        <w:spacing w:after="120"/>
      </w:pPr>
      <w:r>
        <w:rPr>
          <w:rFonts w:ascii="Inter" w:cs="Inter" w:eastAsia="Inter" w:hAnsi="Inter"/>
          <w:color w:val="1F1F1F"/>
          <w:sz w:val="44"/>
          <w:szCs w:val="44"/>
        </w:rPr>
        <w:t xml:space="preserve">Calibre without software</w:t>
      </w:r>
    </w:p>
    <w:p>
      <w:pPr>
        <w:spacing w:after="480"/>
      </w:pPr>
      <w:r>
        <w:rPr>
          <w:rFonts w:ascii="Cormorant Garamond" w:cs="Cormorant Garamond" w:eastAsia="Cormorant Garamond" w:hAnsi="Cormorant Garamond"/>
          <w:i/>
          <w:iCs/>
          <w:color w:val="6B6056"/>
          <w:sz w:val="23"/>
          <w:szCs w:val="23"/>
        </w:rPr>
        <w:t xml:space="preserve">Four alternative concepts, ranked, and how the choice relates to the SaaS decision.</w:t>
      </w:r>
    </w:p>
    <w:p>
      <w:pPr>
        <w:spacing w:after="40" w:before="360"/>
      </w:pPr>
      <w:r>
        <w:rPr>
          <w:rFonts w:ascii="JetBrains Mono" w:cs="JetBrains Mono" w:eastAsia="JetBrains Mono" w:hAnsi="JetBrains Mono"/>
          <w:color w:val="C8A27A"/>
          <w:sz w:val="17"/>
          <w:szCs w:val="17"/>
        </w:rPr>
        <w:t xml:space="preserve">01  —————</w:t>
      </w:r>
    </w:p>
    <w:p>
      <w:pPr>
        <w:pStyle w:val="Heading1"/>
        <w:spacing w:after="120" w:before="0"/>
      </w:pPr>
      <w:r>
        <w:rPr>
          <w:rFonts w:ascii="Inter" w:cs="Inter" w:eastAsia="Inter" w:hAnsi="Inter"/>
          <w:b/>
          <w:bCs/>
          <w:color w:val="A8341F"/>
          <w:sz w:val="28"/>
          <w:szCs w:val="28"/>
        </w:rPr>
        <w:t xml:space="preserve">What any alternative has to deliver</w:t>
      </w:r>
    </w:p>
    <w:p>
      <w:r>
        <w:rPr>
          <w:rFonts w:ascii="Cormorant Garamond" w:cs="Cormorant Garamond" w:eastAsia="Cormorant Garamond" w:hAnsi="Cormorant Garamond"/>
          <w:color w:val="1F1F1F"/>
          <w:sz w:val="21"/>
          <w:szCs w:val="21"/>
        </w:rPr>
        <w:t xml:space="preserve">The business overview gave Calibre one strategic job: to be the only line in the house whose delivery can be separated from the founder's hands, by template, licence, or a trained second person. The technical practice cannot scale past one person without contradicting its own promise. Calibre can. Any alternative concept is judged first on whether it does that job.</w:t>
      </w:r>
    </w:p>
    <w:p>
      <w:r>
        <w:rPr>
          <w:rFonts w:ascii="Cormorant Garamond" w:cs="Cormorant Garamond" w:eastAsia="Cormorant Garamond" w:hAnsi="Cormorant Garamond"/>
          <w:color w:val="1F1F1F"/>
          <w:sz w:val="21"/>
          <w:szCs w:val="21"/>
        </w:rPr>
        <w:t xml:space="preserve">Three constraints from the pivot strategy also bind every option: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919"/>
        <w:gridCol w:w="4153"/>
      </w:tblGrid>
      <w:tr>
        <w:trPr>
          <w:tblHeader/>
        </w:trPr>
        <w:tc>
          <w:tcPr>
            <w:tcW w:type="dxa" w:w="4919"/>
            <w:tcBorders>
              <w:top w:val="single" w:color="C8A27A" w:sz="4"/>
              <w:left w:val="none" w:color="FFFFFF" w:sz="0"/>
              <w:bottom w:val="single" w:color="C8A27A" w:sz="4"/>
              <w:right w:val="none" w:color="FFFFFF" w:sz="0"/>
            </w:tcBorders>
            <w:shd w:fill="1A1410" w:val="clear"/>
            <w:tcMar>
              <w:top w:type="dxa" w:w="90"/>
              <w:left w:type="dxa" w:w="110"/>
              <w:bottom w:type="dxa" w:w="90"/>
              <w:right w:type="dxa" w:w="110"/>
            </w:tcMar>
          </w:tcPr>
          <w:p>
            <w:pPr>
              <w:spacing w:after="0" w:line="276"/>
              <w:jc w:val="left"/>
            </w:pPr>
            <w:r>
              <w:rPr>
                <w:rFonts w:ascii="Inter" w:cs="Inter" w:eastAsia="Inter" w:hAnsi="Inter"/>
                <w:b/>
                <w:bCs/>
                <w:color w:val="FFFFFF"/>
                <w:sz w:val="18"/>
                <w:szCs w:val="18"/>
              </w:rPr>
              <w:t xml:space="preserve">Constraint</w:t>
            </w:r>
          </w:p>
        </w:tc>
        <w:tc>
          <w:tcPr>
            <w:tcW w:type="dxa" w:w="4153"/>
            <w:tcBorders>
              <w:top w:val="single" w:color="C8A27A" w:sz="4"/>
              <w:left w:val="none" w:color="FFFFFF" w:sz="0"/>
              <w:bottom w:val="single" w:color="C8A27A" w:sz="4"/>
              <w:right w:val="none" w:color="FFFFFF" w:sz="0"/>
            </w:tcBorders>
            <w:shd w:fill="1A1410" w:val="clear"/>
            <w:tcMar>
              <w:top w:type="dxa" w:w="90"/>
              <w:left w:type="dxa" w:w="110"/>
              <w:bottom w:type="dxa" w:w="90"/>
              <w:right w:type="dxa" w:w="110"/>
            </w:tcMar>
          </w:tcPr>
          <w:p>
            <w:pPr>
              <w:spacing w:after="0" w:line="276"/>
              <w:jc w:val="left"/>
            </w:pPr>
            <w:r>
              <w:rPr>
                <w:rFonts w:ascii="Inter" w:cs="Inter" w:eastAsia="Inter" w:hAnsi="Inter"/>
                <w:b/>
                <w:bCs/>
                <w:color w:val="FFFFFF"/>
                <w:sz w:val="18"/>
                <w:szCs w:val="18"/>
              </w:rPr>
              <w:t xml:space="preserve">Effect on the choice</w:t>
            </w:r>
          </w:p>
        </w:tc>
      </w:tr>
      <w:tr>
        <w:tc>
          <w:tcPr>
            <w:tcW w:type="dxa" w:w="4919"/>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8 to 12 hours per week, asynchronous, no business hours availability</w:t>
            </w:r>
          </w:p>
        </w:tc>
        <w:tc>
          <w:tcPr>
            <w:tcW w:type="dxa" w:w="4153"/>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Workshops, embedding and anything that needs a calendar are out.</w:t>
            </w:r>
          </w:p>
        </w:tc>
      </w:tr>
      <w:tr>
        <w:tc>
          <w:tcPr>
            <w:tcW w:type="dxa" w:w="4919"/>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KSA delivery frozen while employed; Jordan, UAE and non GCC are conflict free</w:t>
            </w:r>
          </w:p>
        </w:tc>
        <w:tc>
          <w:tcPr>
            <w:tcW w:type="dxa" w:w="4153"/>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The first buyers are in Jordan and the UAE regardless of concept.</w:t>
            </w:r>
          </w:p>
        </w:tc>
      </w:tr>
      <w:tr>
        <w:tc>
          <w:tcPr>
            <w:tcW w:type="dxa" w:w="4919"/>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Cash posture is generate, not invest</w:t>
            </w:r>
          </w:p>
        </w:tc>
        <w:tc>
          <w:tcPr>
            <w:tcW w:type="dxa" w:w="4153"/>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Every option must be cash positive from the first engagement.</w:t>
            </w:r>
          </w:p>
        </w:tc>
      </w:tr>
    </w:tbl>
    <w:p>
      <w:pPr>
        <w:spacing w:after="120"/>
      </w:pPr>
    </w:p>
    <w:p>
      <w:pPr>
        <w:spacing w:after="40" w:before="360"/>
      </w:pPr>
      <w:r>
        <w:rPr>
          <w:rFonts w:ascii="JetBrains Mono" w:cs="JetBrains Mono" w:eastAsia="JetBrains Mono" w:hAnsi="JetBrains Mono"/>
          <w:color w:val="C8A27A"/>
          <w:sz w:val="17"/>
          <w:szCs w:val="17"/>
        </w:rPr>
        <w:t xml:space="preserve">02  —————</w:t>
      </w:r>
    </w:p>
    <w:p>
      <w:pPr>
        <w:pStyle w:val="Heading1"/>
        <w:spacing w:after="120" w:before="0"/>
      </w:pPr>
      <w:r>
        <w:rPr>
          <w:rFonts w:ascii="Inter" w:cs="Inter" w:eastAsia="Inter" w:hAnsi="Inter"/>
          <w:b/>
          <w:bCs/>
          <w:color w:val="A8341F"/>
          <w:sz w:val="28"/>
          <w:szCs w:val="28"/>
        </w:rPr>
        <w:t xml:space="preserve">The four alternatives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802"/>
        <w:gridCol w:w="802"/>
        <w:gridCol w:w="3064"/>
        <w:gridCol w:w="802"/>
        <w:gridCol w:w="1016"/>
        <w:gridCol w:w="802"/>
        <w:gridCol w:w="980"/>
        <w:gridCol w:w="804"/>
      </w:tblGrid>
      <w:tr>
        <w:trPr>
          <w:tblHeader/>
        </w:trPr>
        <w:tc>
          <w:tcPr>
            <w:tcW w:type="dxa" w:w="802"/>
            <w:tcBorders>
              <w:top w:val="single" w:color="C8A27A" w:sz="4"/>
              <w:left w:val="none" w:color="FFFFFF" w:sz="0"/>
              <w:bottom w:val="single" w:color="C8A27A" w:sz="4"/>
              <w:right w:val="none" w:color="FFFFFF" w:sz="0"/>
            </w:tcBorders>
            <w:shd w:fill="1A1410" w:val="clear"/>
            <w:tcMar>
              <w:top w:type="dxa" w:w="90"/>
              <w:left w:type="dxa" w:w="110"/>
              <w:bottom w:type="dxa" w:w="90"/>
              <w:right w:type="dxa" w:w="110"/>
            </w:tcMar>
          </w:tcPr>
          <w:p>
            <w:pPr>
              <w:spacing w:after="0" w:line="276"/>
              <w:jc w:val="left"/>
            </w:pPr>
            <w:r>
              <w:rPr>
                <w:rFonts w:ascii="Inter" w:cs="Inter" w:eastAsia="Inter" w:hAnsi="Inter"/>
                <w:b/>
                <w:bCs/>
                <w:color w:val="FFFFFF"/>
                <w:sz w:val="18"/>
                <w:szCs w:val="18"/>
              </w:rPr>
              <w:t xml:space="preserve">#</w:t>
            </w:r>
          </w:p>
        </w:tc>
        <w:tc>
          <w:tcPr>
            <w:tcW w:type="dxa" w:w="802"/>
            <w:tcBorders>
              <w:top w:val="single" w:color="C8A27A" w:sz="4"/>
              <w:left w:val="none" w:color="FFFFFF" w:sz="0"/>
              <w:bottom w:val="single" w:color="C8A27A" w:sz="4"/>
              <w:right w:val="none" w:color="FFFFFF" w:sz="0"/>
            </w:tcBorders>
            <w:shd w:fill="1A1410" w:val="clear"/>
            <w:tcMar>
              <w:top w:type="dxa" w:w="90"/>
              <w:left w:type="dxa" w:w="110"/>
              <w:bottom w:type="dxa" w:w="90"/>
              <w:right w:type="dxa" w:w="110"/>
            </w:tcMar>
          </w:tcPr>
          <w:p>
            <w:pPr>
              <w:spacing w:after="0" w:line="276"/>
              <w:jc w:val="left"/>
            </w:pPr>
            <w:r>
              <w:rPr>
                <w:rFonts w:ascii="Inter" w:cs="Inter" w:eastAsia="Inter" w:hAnsi="Inter"/>
                <w:b/>
                <w:bCs/>
                <w:color w:val="FFFFFF"/>
                <w:sz w:val="18"/>
                <w:szCs w:val="18"/>
              </w:rPr>
              <w:t xml:space="preserve">Concept</w:t>
            </w:r>
          </w:p>
        </w:tc>
        <w:tc>
          <w:tcPr>
            <w:tcW w:type="dxa" w:w="3064"/>
            <w:tcBorders>
              <w:top w:val="single" w:color="C8A27A" w:sz="4"/>
              <w:left w:val="none" w:color="FFFFFF" w:sz="0"/>
              <w:bottom w:val="single" w:color="C8A27A" w:sz="4"/>
              <w:right w:val="none" w:color="FFFFFF" w:sz="0"/>
            </w:tcBorders>
            <w:shd w:fill="1A1410" w:val="clear"/>
            <w:tcMar>
              <w:top w:type="dxa" w:w="90"/>
              <w:left w:type="dxa" w:w="110"/>
              <w:bottom w:type="dxa" w:w="90"/>
              <w:right w:type="dxa" w:w="110"/>
            </w:tcMar>
          </w:tcPr>
          <w:p>
            <w:pPr>
              <w:spacing w:after="0" w:line="276"/>
              <w:jc w:val="left"/>
            </w:pPr>
            <w:r>
              <w:rPr>
                <w:rFonts w:ascii="Inter" w:cs="Inter" w:eastAsia="Inter" w:hAnsi="Inter"/>
                <w:b/>
                <w:bCs/>
                <w:color w:val="FFFFFF"/>
                <w:sz w:val="18"/>
                <w:szCs w:val="18"/>
              </w:rPr>
              <w:t xml:space="preserve">What it is</w:t>
            </w:r>
          </w:p>
        </w:tc>
        <w:tc>
          <w:tcPr>
            <w:tcW w:type="dxa" w:w="802"/>
            <w:tcBorders>
              <w:top w:val="single" w:color="C8A27A" w:sz="4"/>
              <w:left w:val="none" w:color="FFFFFF" w:sz="0"/>
              <w:bottom w:val="single" w:color="C8A27A" w:sz="4"/>
              <w:right w:val="none" w:color="FFFFFF" w:sz="0"/>
            </w:tcBorders>
            <w:shd w:fill="1A1410" w:val="clear"/>
            <w:tcMar>
              <w:top w:type="dxa" w:w="90"/>
              <w:left w:type="dxa" w:w="110"/>
              <w:bottom w:type="dxa" w:w="90"/>
              <w:right w:type="dxa" w:w="110"/>
            </w:tcMar>
          </w:tcPr>
          <w:p>
            <w:pPr>
              <w:spacing w:after="0" w:line="276"/>
              <w:jc w:val="left"/>
            </w:pPr>
            <w:r>
              <w:rPr>
                <w:rFonts w:ascii="Inter" w:cs="Inter" w:eastAsia="Inter" w:hAnsi="Inter"/>
                <w:b/>
                <w:bCs/>
                <w:color w:val="FFFFFF"/>
                <w:sz w:val="18"/>
                <w:szCs w:val="18"/>
              </w:rPr>
              <w:t xml:space="preserve">Capacity fit</w:t>
            </w:r>
          </w:p>
        </w:tc>
        <w:tc>
          <w:tcPr>
            <w:tcW w:type="dxa" w:w="1016"/>
            <w:tcBorders>
              <w:top w:val="single" w:color="C8A27A" w:sz="4"/>
              <w:left w:val="none" w:color="FFFFFF" w:sz="0"/>
              <w:bottom w:val="single" w:color="C8A27A" w:sz="4"/>
              <w:right w:val="none" w:color="FFFFFF" w:sz="0"/>
            </w:tcBorders>
            <w:shd w:fill="1A1410" w:val="clear"/>
            <w:tcMar>
              <w:top w:type="dxa" w:w="90"/>
              <w:left w:type="dxa" w:w="110"/>
              <w:bottom w:type="dxa" w:w="90"/>
              <w:right w:type="dxa" w:w="110"/>
            </w:tcMar>
          </w:tcPr>
          <w:p>
            <w:pPr>
              <w:spacing w:after="0" w:line="276"/>
              <w:jc w:val="left"/>
            </w:pPr>
            <w:r>
              <w:rPr>
                <w:rFonts w:ascii="Inter" w:cs="Inter" w:eastAsia="Inter" w:hAnsi="Inter"/>
                <w:b/>
                <w:bCs/>
                <w:color w:val="FFFFFF"/>
                <w:sz w:val="18"/>
                <w:szCs w:val="18"/>
              </w:rPr>
              <w:t xml:space="preserve">Conflict risk</w:t>
            </w:r>
          </w:p>
        </w:tc>
        <w:tc>
          <w:tcPr>
            <w:tcW w:type="dxa" w:w="802"/>
            <w:tcBorders>
              <w:top w:val="single" w:color="C8A27A" w:sz="4"/>
              <w:left w:val="none" w:color="FFFFFF" w:sz="0"/>
              <w:bottom w:val="single" w:color="C8A27A" w:sz="4"/>
              <w:right w:val="none" w:color="FFFFFF" w:sz="0"/>
            </w:tcBorders>
            <w:shd w:fill="1A1410" w:val="clear"/>
            <w:tcMar>
              <w:top w:type="dxa" w:w="90"/>
              <w:left w:type="dxa" w:w="110"/>
              <w:bottom w:type="dxa" w:w="90"/>
              <w:right w:type="dxa" w:w="110"/>
            </w:tcMar>
          </w:tcPr>
          <w:p>
            <w:pPr>
              <w:spacing w:after="0" w:line="276"/>
              <w:jc w:val="left"/>
            </w:pPr>
            <w:r>
              <w:rPr>
                <w:rFonts w:ascii="Inter" w:cs="Inter" w:eastAsia="Inter" w:hAnsi="Inter"/>
                <w:b/>
                <w:bCs/>
                <w:color w:val="FFFFFF"/>
                <w:sz w:val="18"/>
                <w:szCs w:val="18"/>
              </w:rPr>
              <w:t xml:space="preserve">Legal exposure</w:t>
            </w:r>
          </w:p>
        </w:tc>
        <w:tc>
          <w:tcPr>
            <w:tcW w:type="dxa" w:w="980"/>
            <w:tcBorders>
              <w:top w:val="single" w:color="C8A27A" w:sz="4"/>
              <w:left w:val="none" w:color="FFFFFF" w:sz="0"/>
              <w:bottom w:val="single" w:color="C8A27A" w:sz="4"/>
              <w:right w:val="none" w:color="FFFFFF" w:sz="0"/>
            </w:tcBorders>
            <w:shd w:fill="1A1410" w:val="clear"/>
            <w:tcMar>
              <w:top w:type="dxa" w:w="90"/>
              <w:left w:type="dxa" w:w="110"/>
              <w:bottom w:type="dxa" w:w="90"/>
              <w:right w:type="dxa" w:w="110"/>
            </w:tcMar>
          </w:tcPr>
          <w:p>
            <w:pPr>
              <w:spacing w:after="0" w:line="276"/>
              <w:jc w:val="left"/>
            </w:pPr>
            <w:r>
              <w:rPr>
                <w:rFonts w:ascii="Inter" w:cs="Inter" w:eastAsia="Inter" w:hAnsi="Inter"/>
                <w:b/>
                <w:bCs/>
                <w:color w:val="FFFFFF"/>
                <w:sz w:val="18"/>
                <w:szCs w:val="18"/>
              </w:rPr>
              <w:t xml:space="preserve">Revenue shape</w:t>
            </w:r>
          </w:p>
        </w:tc>
        <w:tc>
          <w:tcPr>
            <w:tcW w:type="dxa" w:w="804"/>
            <w:tcBorders>
              <w:top w:val="single" w:color="C8A27A" w:sz="4"/>
              <w:left w:val="none" w:color="FFFFFF" w:sz="0"/>
              <w:bottom w:val="single" w:color="C8A27A" w:sz="4"/>
              <w:right w:val="none" w:color="FFFFFF" w:sz="0"/>
            </w:tcBorders>
            <w:shd w:fill="1A1410" w:val="clear"/>
            <w:tcMar>
              <w:top w:type="dxa" w:w="90"/>
              <w:left w:type="dxa" w:w="110"/>
              <w:bottom w:type="dxa" w:w="90"/>
              <w:right w:type="dxa" w:w="110"/>
            </w:tcMar>
          </w:tcPr>
          <w:p>
            <w:pPr>
              <w:spacing w:after="0" w:line="276"/>
              <w:jc w:val="left"/>
            </w:pPr>
            <w:r>
              <w:rPr>
                <w:rFonts w:ascii="Inter" w:cs="Inter" w:eastAsia="Inter" w:hAnsi="Inter"/>
                <w:b/>
                <w:bCs/>
                <w:color w:val="FFFFFF"/>
                <w:sz w:val="18"/>
                <w:szCs w:val="18"/>
              </w:rPr>
              <w:t xml:space="preserve">Time to cash</w:t>
            </w:r>
          </w:p>
        </w:tc>
      </w:tr>
      <w:tr>
        <w:tc>
          <w:tcPr>
            <w:tcW w:type="dxa" w:w="802"/>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right"/>
            </w:pPr>
            <w:r>
              <w:rPr>
                <w:rFonts w:ascii="Cormorant Garamond" w:cs="Cormorant Garamond" w:eastAsia="Cormorant Garamond" w:hAnsi="Cormorant Garamond"/>
                <w:color w:val="1F1F1F"/>
                <w:sz w:val="19"/>
                <w:szCs w:val="19"/>
              </w:rPr>
              <w:t xml:space="preserve">1</w:t>
            </w:r>
          </w:p>
        </w:tc>
        <w:tc>
          <w:tcPr>
            <w:tcW w:type="dxa" w:w="802"/>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Licensed method kit</w:t>
            </w:r>
          </w:p>
        </w:tc>
        <w:tc>
          <w:tcPr>
            <w:tcW w:type="dxa" w:w="3064"/>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The Calibre method sold as a package: finance role rubrics, blind scoring workbook, calibration guide, memo template, allowed and prohibited use policy. The client runs it.</w:t>
            </w:r>
          </w:p>
        </w:tc>
        <w:tc>
          <w:tcPr>
            <w:tcW w:type="dxa" w:w="802"/>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Excellent, near zero delivery hours</w:t>
            </w:r>
          </w:p>
        </w:tc>
        <w:tc>
          <w:tcPr>
            <w:tcW w:type="dxa" w:w="1016"/>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Low, no delivery in any market</w:t>
            </w:r>
          </w:p>
        </w:tc>
        <w:tc>
          <w:tcPr>
            <w:tcW w:type="dxa" w:w="802"/>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Lowest, the client holds all candidate data</w:t>
            </w:r>
          </w:p>
        </w:tc>
        <w:tc>
          <w:tcPr>
            <w:tcW w:type="dxa" w:w="980"/>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One off per kit, plus an annual refresh</w:t>
            </w:r>
          </w:p>
        </w:tc>
        <w:tc>
          <w:tcPr>
            <w:tcW w:type="dxa" w:w="804"/>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Weeks</w:t>
            </w:r>
          </w:p>
        </w:tc>
      </w:tr>
      <w:tr>
        <w:tc>
          <w:tcPr>
            <w:tcW w:type="dxa" w:w="802"/>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right"/>
            </w:pPr>
            <w:r>
              <w:rPr>
                <w:rFonts w:ascii="Cormorant Garamond" w:cs="Cormorant Garamond" w:eastAsia="Cormorant Garamond" w:hAnsi="Cormorant Garamond"/>
                <w:color w:val="1F1F1F"/>
                <w:sz w:val="19"/>
                <w:szCs w:val="19"/>
              </w:rPr>
              <w:t xml:space="preserve">2</w:t>
            </w:r>
          </w:p>
        </w:tc>
        <w:tc>
          <w:tcPr>
            <w:tcW w:type="dxa" w:w="802"/>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Certified operator</w:t>
            </w:r>
          </w:p>
        </w:tc>
        <w:tc>
          <w:tcPr>
            <w:tcW w:type="dxa" w:w="3064"/>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Train and licence a second person, an associate or a client's HR lead, to run Verdicts under the Calibre name.</w:t>
            </w:r>
          </w:p>
        </w:tc>
        <w:tc>
          <w:tcPr>
            <w:tcW w:type="dxa" w:w="802"/>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Good, front loaded training then royalty</w:t>
            </w:r>
          </w:p>
        </w:tc>
        <w:tc>
          <w:tcPr>
            <w:tcW w:type="dxa" w:w="1016"/>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Low</w:t>
            </w:r>
          </w:p>
        </w:tc>
        <w:tc>
          <w:tcPr>
            <w:tcW w:type="dxa" w:w="802"/>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Moderate, the brand carries their decisions</w:t>
            </w:r>
          </w:p>
        </w:tc>
        <w:tc>
          <w:tcPr>
            <w:tcW w:type="dxa" w:w="980"/>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Certification fee plus per Verdict royalty</w:t>
            </w:r>
          </w:p>
        </w:tc>
        <w:tc>
          <w:tcPr>
            <w:tcW w:type="dxa" w:w="804"/>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Months</w:t>
            </w:r>
          </w:p>
        </w:tc>
      </w:tr>
      <w:tr>
        <w:tc>
          <w:tcPr>
            <w:tcW w:type="dxa" w:w="802"/>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right"/>
            </w:pPr>
            <w:r>
              <w:rPr>
                <w:rFonts w:ascii="Cormorant Garamond" w:cs="Cormorant Garamond" w:eastAsia="Cormorant Garamond" w:hAnsi="Cormorant Garamond"/>
                <w:color w:val="1F1F1F"/>
                <w:sz w:val="19"/>
                <w:szCs w:val="19"/>
              </w:rPr>
              <w:t xml:space="preserve">3</w:t>
            </w:r>
          </w:p>
        </w:tc>
        <w:tc>
          <w:tcPr>
            <w:tcW w:type="dxa" w:w="802"/>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Verdicts inside the Finance Desk retainer</w:t>
            </w:r>
          </w:p>
        </w:tc>
        <w:tc>
          <w:tcPr>
            <w:tcW w:type="dxa" w:w="3064"/>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A fixed number of Verdicts per year bundled into the D/01 retainer. Calibre stops being a product and becomes a retainer feature.</w:t>
            </w:r>
          </w:p>
        </w:tc>
        <w:tc>
          <w:tcPr>
            <w:tcW w:type="dxa" w:w="802"/>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Good, but the hours are the founder's</w:t>
            </w:r>
          </w:p>
        </w:tc>
        <w:tc>
          <w:tcPr>
            <w:tcW w:type="dxa" w:w="1016"/>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Same as Daftar's</w:t>
            </w:r>
          </w:p>
        </w:tc>
        <w:tc>
          <w:tcPr>
            <w:tcW w:type="dxa" w:w="802"/>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Manageable, identical to today's Verdict</w:t>
            </w:r>
          </w:p>
        </w:tc>
        <w:tc>
          <w:tcPr>
            <w:tcW w:type="dxa" w:w="980"/>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Recurring, decoupled from the episodic nature of hiring</w:t>
            </w:r>
          </w:p>
        </w:tc>
        <w:tc>
          <w:tcPr>
            <w:tcW w:type="dxa" w:w="804"/>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Immediate for existing retainer clients</w:t>
            </w:r>
          </w:p>
        </w:tc>
      </w:tr>
      <w:tr>
        <w:tc>
          <w:tcPr>
            <w:tcW w:type="dxa" w:w="802"/>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right"/>
            </w:pPr>
            <w:r>
              <w:rPr>
                <w:rFonts w:ascii="Cormorant Garamond" w:cs="Cormorant Garamond" w:eastAsia="Cormorant Garamond" w:hAnsi="Cormorant Garamond"/>
                <w:color w:val="1F1F1F"/>
                <w:sz w:val="19"/>
                <w:szCs w:val="19"/>
              </w:rPr>
              <w:t xml:space="preserve">4</w:t>
            </w:r>
          </w:p>
        </w:tc>
        <w:tc>
          <w:tcPr>
            <w:tcW w:type="dxa" w:w="802"/>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Search firm QA layer</w:t>
            </w:r>
          </w:p>
        </w:tc>
        <w:tc>
          <w:tcPr>
            <w:tcW w:type="dxa" w:w="3064"/>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Calibre as the finalist stage second opinion that boutique search firms sell to their clients, to defend recommendations and reduce clawbacks.</w:t>
            </w:r>
          </w:p>
        </w:tc>
        <w:tc>
          <w:tcPr>
            <w:tcW w:type="dxa" w:w="802"/>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Good, asynchronous</w:t>
            </w:r>
          </w:p>
        </w:tc>
        <w:tc>
          <w:tcPr>
            <w:tcW w:type="dxa" w:w="1016"/>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Moderate, the Amman search community is small and visible</w:t>
            </w:r>
          </w:p>
        </w:tc>
        <w:tc>
          <w:tcPr>
            <w:tcW w:type="dxa" w:w="802"/>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Moderate, one step removed from the employer</w:t>
            </w:r>
          </w:p>
        </w:tc>
        <w:tc>
          <w:tcPr>
            <w:tcW w:type="dxa" w:w="980"/>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Per decision, higher volume through one channel</w:t>
            </w:r>
          </w:p>
        </w:tc>
        <w:tc>
          <w:tcPr>
            <w:tcW w:type="dxa" w:w="804"/>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Slow, gated on ten documented decisions</w:t>
            </w:r>
          </w:p>
        </w:tc>
      </w:tr>
    </w:tbl>
    <w:p>
      <w:pPr>
        <w:spacing w:after="120"/>
      </w:pPr>
    </w:p>
    <w:p>
      <w:pPr>
        <w:pStyle w:val="Heading2"/>
        <w:spacing w:after="80" w:before="280"/>
      </w:pPr>
      <w:r>
        <w:rPr>
          <w:rFonts w:ascii="Inter" w:cs="Inter" w:eastAsia="Inter" w:hAnsi="Inter"/>
          <w:b/>
          <w:bCs/>
          <w:color w:val="A8341F"/>
          <w:sz w:val="24"/>
          <w:szCs w:val="24"/>
        </w:rPr>
        <w:t xml:space="preserve">Licensed method kit</w:t>
      </w:r>
    </w:p>
    <w:p>
      <w:r>
        <w:rPr>
          <w:rFonts w:ascii="Inter" w:cs="Inter" w:eastAsia="Inter" w:hAnsi="Inter"/>
          <w:b/>
          <w:bCs/>
          <w:color w:val="3A3028"/>
          <w:sz w:val="20"/>
          <w:szCs w:val="20"/>
        </w:rPr>
        <w:t xml:space="preserve">What the buyer gets.  </w:t>
      </w:r>
      <w:r>
        <w:rPr>
          <w:rFonts w:ascii="Cormorant Garamond" w:cs="Cormorant Garamond" w:eastAsia="Cormorant Garamond" w:hAnsi="Cormorant Garamond"/>
          <w:color w:val="1F1F1F"/>
          <w:sz w:val="21"/>
          <w:szCs w:val="21"/>
        </w:rPr>
        <w:t xml:space="preserve">A role family pack for Financial Controller or Finance Manager: the role brief template, a weighted rubric with anchored descriptors, a blind scoring workbook that hides other panelists' scores until all are entered, a calibration guide with the written reasons discipline, the Verdict memo template in house style, the candidate notice, and the allowed and prohibited use policy. A short recorded walkthrough replaces the workshop.</w:t>
      </w:r>
    </w:p>
    <w:p>
      <w:r>
        <w:rPr>
          <w:rFonts w:ascii="Inter" w:cs="Inter" w:eastAsia="Inter" w:hAnsi="Inter"/>
          <w:b/>
          <w:bCs/>
          <w:color w:val="3A3028"/>
          <w:sz w:val="20"/>
          <w:szCs w:val="20"/>
        </w:rPr>
        <w:t xml:space="preserve">Why it works.  </w:t>
      </w:r>
      <w:r>
        <w:rPr>
          <w:rFonts w:ascii="Cormorant Garamond" w:cs="Cormorant Garamond" w:eastAsia="Cormorant Garamond" w:hAnsi="Cormorant Garamond"/>
          <w:color w:val="1F1F1F"/>
          <w:sz w:val="21"/>
          <w:szCs w:val="21"/>
        </w:rPr>
        <w:t xml:space="preserve">It delivers the strategic job completely: the method leaves the founder's hands with no software and no candidate data ever touching Daftar. Nothing in it is an instrument, so no validation claim is needed. It is the truest version of "not another ATS".</w:t>
      </w:r>
    </w:p>
    <w:p>
      <w:r>
        <w:rPr>
          <w:rFonts w:ascii="Inter" w:cs="Inter" w:eastAsia="Inter" w:hAnsi="Inter"/>
          <w:b/>
          <w:bCs/>
          <w:color w:val="3A3028"/>
          <w:sz w:val="20"/>
          <w:szCs w:val="20"/>
        </w:rPr>
        <w:t xml:space="preserve">Where it is weak.  </w:t>
      </w:r>
      <w:r>
        <w:rPr>
          <w:rFonts w:ascii="Cormorant Garamond" w:cs="Cormorant Garamond" w:eastAsia="Cormorant Garamond" w:hAnsi="Cormorant Garamond"/>
          <w:color w:val="1F1F1F"/>
          <w:sz w:val="21"/>
          <w:szCs w:val="21"/>
        </w:rPr>
        <w:t xml:space="preserve">Kits get used once and forgotten. The annual refresh and the outcome register prompt are the only hooks that bring the client back. Price discipline is also harder: a kit reads as cheaper than a person's judgment, so it must be sold as the method, not as templates.</w:t>
      </w:r>
    </w:p>
    <w:p>
      <w:r>
        <w:rPr>
          <w:rFonts w:ascii="Inter" w:cs="Inter" w:eastAsia="Inter" w:hAnsi="Inter"/>
          <w:b/>
          <w:bCs/>
          <w:color w:val="3A3028"/>
          <w:sz w:val="20"/>
          <w:szCs w:val="20"/>
        </w:rPr>
        <w:t xml:space="preserve">Indicative pricing.  </w:t>
      </w:r>
      <w:r>
        <w:rPr>
          <w:rFonts w:ascii="Cormorant Garamond" w:cs="Cormorant Garamond" w:eastAsia="Cormorant Garamond" w:hAnsi="Cormorant Garamond"/>
          <w:color w:val="1F1F1F"/>
          <w:sz w:val="21"/>
          <w:szCs w:val="21"/>
        </w:rPr>
        <w:t xml:space="preserve">Assumption, untested: one third to one half of a Verdict fee per role family pack, with the first kit sold only to a client that has already bought a Verdict.</w:t>
      </w:r>
    </w:p>
    <w:p>
      <w:pPr>
        <w:pStyle w:val="Heading2"/>
        <w:spacing w:after="80" w:before="280"/>
      </w:pPr>
      <w:r>
        <w:rPr>
          <w:rFonts w:ascii="Inter" w:cs="Inter" w:eastAsia="Inter" w:hAnsi="Inter"/>
          <w:b/>
          <w:bCs/>
          <w:color w:val="A8341F"/>
          <w:sz w:val="24"/>
          <w:szCs w:val="24"/>
        </w:rPr>
        <w:t xml:space="preserve">Certified operator</w:t>
      </w:r>
    </w:p>
    <w:p>
      <w:r>
        <w:rPr>
          <w:rFonts w:ascii="Inter" w:cs="Inter" w:eastAsia="Inter" w:hAnsi="Inter"/>
          <w:b/>
          <w:bCs/>
          <w:color w:val="3A3028"/>
          <w:sz w:val="20"/>
          <w:szCs w:val="20"/>
        </w:rPr>
        <w:t xml:space="preserve">What it is.  </w:t>
      </w:r>
      <w:r>
        <w:rPr>
          <w:rFonts w:ascii="Cormorant Garamond" w:cs="Cormorant Garamond" w:eastAsia="Cormorant Garamond" w:hAnsi="Cormorant Garamond"/>
          <w:color w:val="1F1F1F"/>
          <w:sz w:val="21"/>
          <w:szCs w:val="21"/>
        </w:rPr>
        <w:t xml:space="preserve">A trained second person runs Verdicts under the Calibre name. The first candidate is a client's HR lead who has run the kit twice. The second is a paid associate, which the feasibility study already models at USD 50 to 55 per hour ramping from year two.</w:t>
      </w:r>
    </w:p>
    <w:p>
      <w:r>
        <w:rPr>
          <w:rFonts w:ascii="Inter" w:cs="Inter" w:eastAsia="Inter" w:hAnsi="Inter"/>
          <w:b/>
          <w:bCs/>
          <w:color w:val="3A3028"/>
          <w:sz w:val="20"/>
          <w:szCs w:val="20"/>
        </w:rPr>
        <w:t xml:space="preserve">Why it works.  </w:t>
      </w:r>
      <w:r>
        <w:rPr>
          <w:rFonts w:ascii="Cormorant Garamond" w:cs="Cormorant Garamond" w:eastAsia="Cormorant Garamond" w:hAnsi="Cormorant Garamond"/>
          <w:color w:val="1F1F1F"/>
          <w:sz w:val="21"/>
          <w:szCs w:val="21"/>
        </w:rPr>
        <w:t xml:space="preserve">It is the "trained second person" horizon from the business overview made concrete, and it is how Calibre becomes capacity additive rather than capacity competing.</w:t>
      </w:r>
    </w:p>
    <w:p>
      <w:r>
        <w:rPr>
          <w:rFonts w:ascii="Inter" w:cs="Inter" w:eastAsia="Inter" w:hAnsi="Inter"/>
          <w:b/>
          <w:bCs/>
          <w:color w:val="3A3028"/>
          <w:sz w:val="20"/>
          <w:szCs w:val="20"/>
        </w:rPr>
        <w:t xml:space="preserve">Where it is weak.  </w:t>
      </w:r>
      <w:r>
        <w:rPr>
          <w:rFonts w:ascii="Cormorant Garamond" w:cs="Cormorant Garamond" w:eastAsia="Cormorant Garamond" w:hAnsi="Cormorant Garamond"/>
          <w:color w:val="1F1F1F"/>
          <w:sz w:val="21"/>
          <w:szCs w:val="21"/>
        </w:rPr>
        <w:t xml:space="preserve">The brand carries decisions the founder did not make. That requires the use policy, the audit trail and the outcome register to be non negotiable conditions of the licence, and it needs the counsel note before the first certificate is issued.</w:t>
      </w:r>
    </w:p>
    <w:p>
      <w:pPr>
        <w:pStyle w:val="Heading2"/>
        <w:spacing w:after="80" w:before="280"/>
      </w:pPr>
      <w:r>
        <w:rPr>
          <w:rFonts w:ascii="Inter" w:cs="Inter" w:eastAsia="Inter" w:hAnsi="Inter"/>
          <w:b/>
          <w:bCs/>
          <w:color w:val="A8341F"/>
          <w:sz w:val="24"/>
          <w:szCs w:val="24"/>
        </w:rPr>
        <w:t xml:space="preserve">Verdicts inside the Finance Desk retainer</w:t>
      </w:r>
    </w:p>
    <w:p>
      <w:r>
        <w:rPr>
          <w:rFonts w:ascii="Inter" w:cs="Inter" w:eastAsia="Inter" w:hAnsi="Inter"/>
          <w:b/>
          <w:bCs/>
          <w:color w:val="3A3028"/>
          <w:sz w:val="20"/>
          <w:szCs w:val="20"/>
        </w:rPr>
        <w:t xml:space="preserve">What it is.  </w:t>
      </w:r>
      <w:r>
        <w:rPr>
          <w:rFonts w:ascii="Cormorant Garamond" w:cs="Cormorant Garamond" w:eastAsia="Cormorant Garamond" w:hAnsi="Cormorant Garamond"/>
          <w:color w:val="1F1F1F"/>
          <w:sz w:val="21"/>
          <w:szCs w:val="21"/>
        </w:rPr>
        <w:t xml:space="preserve">D/01 gains a line: up to two finance role Verdicts per retainer year, delivered by the founder, priced inside the retainer at the USD 350 per hour benchmark rather than at a standalone discount.</w:t>
      </w:r>
    </w:p>
    <w:p>
      <w:r>
        <w:rPr>
          <w:rFonts w:ascii="Inter" w:cs="Inter" w:eastAsia="Inter" w:hAnsi="Inter"/>
          <w:b/>
          <w:bCs/>
          <w:color w:val="3A3028"/>
          <w:sz w:val="20"/>
          <w:szCs w:val="20"/>
        </w:rPr>
        <w:t xml:space="preserve">Why it works.  </w:t>
      </w:r>
      <w:r>
        <w:rPr>
          <w:rFonts w:ascii="Cormorant Garamond" w:cs="Cormorant Garamond" w:eastAsia="Cormorant Garamond" w:hAnsi="Cormorant Garamond"/>
          <w:color w:val="1F1F1F"/>
          <w:sz w:val="21"/>
          <w:szCs w:val="21"/>
        </w:rPr>
        <w:t xml:space="preserve">The deep-research assessment flagged that hiring is episodic, so a per decision product has weak repeat demand. A retainer recurs on its own. The buyer is the same CFO, the relationship already exists, and the Verdict hours are priced at the firm's best rate.</w:t>
      </w:r>
    </w:p>
    <w:p>
      <w:r>
        <w:rPr>
          <w:rFonts w:ascii="Inter" w:cs="Inter" w:eastAsia="Inter" w:hAnsi="Inter"/>
          <w:b/>
          <w:bCs/>
          <w:color w:val="3A3028"/>
          <w:sz w:val="20"/>
          <w:szCs w:val="20"/>
        </w:rPr>
        <w:t xml:space="preserve">Where it is weak.  </w:t>
      </w:r>
      <w:r>
        <w:rPr>
          <w:rFonts w:ascii="Cormorant Garamond" w:cs="Cormorant Garamond" w:eastAsia="Cormorant Garamond" w:hAnsi="Cormorant Garamond"/>
          <w:color w:val="1F1F1F"/>
          <w:sz w:val="21"/>
          <w:szCs w:val="21"/>
        </w:rPr>
        <w:t xml:space="preserve">It does nothing for the strategic job. The hours are still the founder's. It is the floor, not the concept.</w:t>
      </w:r>
    </w:p>
    <w:p>
      <w:pPr>
        <w:pStyle w:val="Heading2"/>
        <w:spacing w:after="80" w:before="280"/>
      </w:pPr>
      <w:r>
        <w:rPr>
          <w:rFonts w:ascii="Inter" w:cs="Inter" w:eastAsia="Inter" w:hAnsi="Inter"/>
          <w:b/>
          <w:bCs/>
          <w:color w:val="A8341F"/>
          <w:sz w:val="24"/>
          <w:szCs w:val="24"/>
        </w:rPr>
        <w:t xml:space="preserve">Search firm QA layer</w:t>
      </w:r>
    </w:p>
    <w:p>
      <w:r>
        <w:rPr>
          <w:rFonts w:ascii="Inter" w:cs="Inter" w:eastAsia="Inter" w:hAnsi="Inter"/>
          <w:b/>
          <w:bCs/>
          <w:color w:val="3A3028"/>
          <w:sz w:val="20"/>
          <w:szCs w:val="20"/>
        </w:rPr>
        <w:t xml:space="preserve">What it is.  </w:t>
      </w:r>
      <w:r>
        <w:rPr>
          <w:rFonts w:ascii="Cormorant Garamond" w:cs="Cormorant Garamond" w:eastAsia="Cormorant Garamond" w:hAnsi="Cormorant Garamond"/>
          <w:color w:val="1F1F1F"/>
          <w:sz w:val="21"/>
          <w:szCs w:val="21"/>
        </w:rPr>
        <w:t xml:space="preserve">Boutique search firms in Amman and Dubai sell a Calibre Verdict on their final shortlist as a defensibility layer for their client, and as a way to reduce clawbacks on placements that fail inside the guarantee period.</w:t>
      </w:r>
    </w:p>
    <w:p>
      <w:r>
        <w:rPr>
          <w:rFonts w:ascii="Inter" w:cs="Inter" w:eastAsia="Inter" w:hAnsi="Inter"/>
          <w:b/>
          <w:bCs/>
          <w:color w:val="3A3028"/>
          <w:sz w:val="20"/>
          <w:szCs w:val="20"/>
        </w:rPr>
        <w:t xml:space="preserve">Why it works.  </w:t>
      </w:r>
      <w:r>
        <w:rPr>
          <w:rFonts w:ascii="Cormorant Garamond" w:cs="Cormorant Garamond" w:eastAsia="Cormorant Garamond" w:hAnsi="Cormorant Garamond"/>
          <w:color w:val="1F1F1F"/>
          <w:sz w:val="21"/>
          <w:szCs w:val="21"/>
        </w:rPr>
        <w:t xml:space="preserve">One channel, higher volume, and a buyer with a direct financial reason to want the memo.</w:t>
      </w:r>
    </w:p>
    <w:p>
      <w:r>
        <w:rPr>
          <w:rFonts w:ascii="Inter" w:cs="Inter" w:eastAsia="Inter" w:hAnsi="Inter"/>
          <w:b/>
          <w:bCs/>
          <w:color w:val="3A3028"/>
          <w:sz w:val="20"/>
          <w:szCs w:val="20"/>
        </w:rPr>
        <w:t xml:space="preserve">Where it is weak.  </w:t>
      </w:r>
      <w:r>
        <w:rPr>
          <w:rFonts w:ascii="Cormorant Garamond" w:cs="Cormorant Garamond" w:eastAsia="Cormorant Garamond" w:hAnsi="Cormorant Garamond"/>
          <w:color w:val="1F1F1F"/>
          <w:sz w:val="21"/>
          <w:szCs w:val="21"/>
        </w:rPr>
        <w:t xml:space="preserve">The pivot strategy deferred this with a named trigger: ten documented paid decisions with recorded outcomes. A search firm will not stake a client relationship on an unproven instrument. The Amman community is also small enough that the outreach is visible, which matters while employed.</w:t>
      </w:r>
    </w:p>
    <w:p>
      <w:pPr>
        <w:spacing w:after="40" w:before="360"/>
      </w:pPr>
      <w:r>
        <w:rPr>
          <w:rFonts w:ascii="JetBrains Mono" w:cs="JetBrains Mono" w:eastAsia="JetBrains Mono" w:hAnsi="JetBrains Mono"/>
          <w:color w:val="C8A27A"/>
          <w:sz w:val="17"/>
          <w:szCs w:val="17"/>
        </w:rPr>
        <w:t xml:space="preserve">03  —————</w:t>
      </w:r>
    </w:p>
    <w:p>
      <w:pPr>
        <w:pStyle w:val="Heading1"/>
        <w:spacing w:after="120" w:before="0"/>
      </w:pPr>
      <w:r>
        <w:rPr>
          <w:rFonts w:ascii="Inter" w:cs="Inter" w:eastAsia="Inter" w:hAnsi="Inter"/>
          <w:b/>
          <w:bCs/>
          <w:color w:val="A8341F"/>
          <w:sz w:val="28"/>
          <w:szCs w:val="28"/>
        </w:rPr>
        <w:t xml:space="preserve">Considered and rejected</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71"/>
        <w:gridCol w:w="7101"/>
      </w:tblGrid>
      <w:tr>
        <w:trPr>
          <w:tblHeader/>
        </w:trPr>
        <w:tc>
          <w:tcPr>
            <w:tcW w:type="dxa" w:w="1971"/>
            <w:tcBorders>
              <w:top w:val="single" w:color="C8A27A" w:sz="4"/>
              <w:left w:val="none" w:color="FFFFFF" w:sz="0"/>
              <w:bottom w:val="single" w:color="C8A27A" w:sz="4"/>
              <w:right w:val="none" w:color="FFFFFF" w:sz="0"/>
            </w:tcBorders>
            <w:shd w:fill="1A1410" w:val="clear"/>
            <w:tcMar>
              <w:top w:type="dxa" w:w="90"/>
              <w:left w:type="dxa" w:w="110"/>
              <w:bottom w:type="dxa" w:w="90"/>
              <w:right w:type="dxa" w:w="110"/>
            </w:tcMar>
          </w:tcPr>
          <w:p>
            <w:pPr>
              <w:spacing w:after="0" w:line="276"/>
              <w:jc w:val="left"/>
            </w:pPr>
            <w:r>
              <w:rPr>
                <w:rFonts w:ascii="Inter" w:cs="Inter" w:eastAsia="Inter" w:hAnsi="Inter"/>
                <w:b/>
                <w:bCs/>
                <w:color w:val="FFFFFF"/>
                <w:sz w:val="18"/>
                <w:szCs w:val="18"/>
              </w:rPr>
              <w:t xml:space="preserve">Idea</w:t>
            </w:r>
          </w:p>
        </w:tc>
        <w:tc>
          <w:tcPr>
            <w:tcW w:type="dxa" w:w="7101"/>
            <w:tcBorders>
              <w:top w:val="single" w:color="C8A27A" w:sz="4"/>
              <w:left w:val="none" w:color="FFFFFF" w:sz="0"/>
              <w:bottom w:val="single" w:color="C8A27A" w:sz="4"/>
              <w:right w:val="none" w:color="FFFFFF" w:sz="0"/>
            </w:tcBorders>
            <w:shd w:fill="1A1410" w:val="clear"/>
            <w:tcMar>
              <w:top w:type="dxa" w:w="90"/>
              <w:left w:type="dxa" w:w="110"/>
              <w:bottom w:type="dxa" w:w="90"/>
              <w:right w:type="dxa" w:w="110"/>
            </w:tcMar>
          </w:tcPr>
          <w:p>
            <w:pPr>
              <w:spacing w:after="0" w:line="276"/>
              <w:jc w:val="left"/>
            </w:pPr>
            <w:r>
              <w:rPr>
                <w:rFonts w:ascii="Inter" w:cs="Inter" w:eastAsia="Inter" w:hAnsi="Inter"/>
                <w:b/>
                <w:bCs/>
                <w:color w:val="FFFFFF"/>
                <w:sz w:val="18"/>
                <w:szCs w:val="18"/>
              </w:rPr>
              <w:t xml:space="preserve">Why not</w:t>
            </w:r>
          </w:p>
        </w:tc>
      </w:tr>
      <w:tr>
        <w:tc>
          <w:tcPr>
            <w:tcW w:type="dxa" w:w="1971"/>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Finance function capability review for IPO bound companies</w:t>
            </w:r>
          </w:p>
        </w:tc>
        <w:tc>
          <w:tcPr>
            <w:tcW w:type="dxa" w:w="7101"/>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The prospect register's IPO readiness signals make this tempting. It assesses incumbent employees, which is the broadening the assessment rejected, and it triggers every employment law risk the Verdict avoids.</w:t>
            </w:r>
          </w:p>
        </w:tc>
      </w:tr>
      <w:tr>
        <w:tc>
          <w:tcPr>
            <w:tcW w:type="dxa" w:w="1971"/>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Paid course or handbook on finance role hiring</w:t>
            </w:r>
          </w:p>
        </w:tc>
        <w:tc>
          <w:tcPr>
            <w:tcW w:type="dxa" w:w="7101"/>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Zero data risk and useful for authority, but revenue is small and it does not deliver the strategic job. Keep as content, not as the concept.</w:t>
            </w:r>
          </w:p>
        </w:tc>
      </w:tr>
      <w:tr>
        <w:tc>
          <w:tcPr>
            <w:tcW w:type="dxa" w:w="1971"/>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Interviewer training for HR teams</w:t>
            </w:r>
          </w:p>
        </w:tc>
        <w:tc>
          <w:tcPr>
            <w:tcW w:type="dxa" w:w="7101"/>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Weaker founder authority, needs business hours, and competes head on with SHL and Mercer.</w:t>
            </w:r>
          </w:p>
        </w:tc>
      </w:tr>
      <w:tr>
        <w:tc>
          <w:tcPr>
            <w:tcW w:type="dxa" w:w="1971"/>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Any candidate facing instrument</w:t>
            </w:r>
          </w:p>
        </w:tc>
        <w:tc>
          <w:tcPr>
            <w:tcW w:type="dxa" w:w="7101"/>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Removed by the assessment. Not revisited here.</w:t>
            </w:r>
          </w:p>
        </w:tc>
      </w:tr>
    </w:tbl>
    <w:p>
      <w:pPr>
        <w:spacing w:after="120"/>
      </w:pPr>
    </w:p>
    <w:p>
      <w:pPr>
        <w:spacing w:after="40" w:before="360"/>
      </w:pPr>
      <w:r>
        <w:rPr>
          <w:rFonts w:ascii="JetBrains Mono" w:cs="JetBrains Mono" w:eastAsia="JetBrains Mono" w:hAnsi="JetBrains Mono"/>
          <w:color w:val="C8A27A"/>
          <w:sz w:val="17"/>
          <w:szCs w:val="17"/>
        </w:rPr>
        <w:t xml:space="preserve">04  —————</w:t>
      </w:r>
    </w:p>
    <w:p>
      <w:pPr>
        <w:pStyle w:val="Heading1"/>
        <w:spacing w:after="120" w:before="0"/>
      </w:pPr>
      <w:r>
        <w:rPr>
          <w:rFonts w:ascii="Inter" w:cs="Inter" w:eastAsia="Inter" w:hAnsi="Inter"/>
          <w:b/>
          <w:bCs/>
          <w:color w:val="A8341F"/>
          <w:sz w:val="28"/>
          <w:szCs w:val="28"/>
        </w:rPr>
        <w:t xml:space="preserve">Recommendation</w:t>
      </w:r>
    </w:p>
    <w:p>
      <w:pPr>
        <w:pBdr>
          <w:left w:val="single" w:color="A8341F" w:sz="18" w:space="12"/>
        </w:pBdr>
        <w:shd w:fill="F9EDEA" w:val="clear"/>
        <w:spacing w:after="240" w:before="160" w:line="312"/>
        <w:ind w:left="200"/>
      </w:pPr>
      <w:r>
        <w:rPr>
          <w:rFonts w:ascii="Cormorant Garamond" w:cs="Cormorant Garamond" w:eastAsia="Cormorant Garamond" w:hAnsi="Cormorant Garamond"/>
          <w:i/>
          <w:iCs/>
          <w:color w:val="1F1F1F"/>
          <w:sz w:val="23"/>
          <w:szCs w:val="23"/>
        </w:rPr>
        <w:t xml:space="preserve">Concept 1 with concept 3 underneath it.</w:t>
      </w:r>
    </w:p>
    <w:p>
      <w:r>
        <w:rPr>
          <w:rFonts w:ascii="Cormorant Garamond" w:cs="Cormorant Garamond" w:eastAsia="Cormorant Garamond" w:hAnsi="Cormorant Garamond"/>
          <w:color w:val="1F1F1F"/>
          <w:sz w:val="21"/>
          <w:szCs w:val="21"/>
        </w:rPr>
        <w:t xml:space="preserve">The licensed method kit is the only version of Calibre that delivers the strategic job without holding candidate personal data across three data protection regimes, which is the burden the assessment said cannot yet be staffed. The retainer bundle solves the repeat demand problem and prices the founder's Verdict hours at the benchmark rate. Concept 2 is the natural sequel once a client's HR lead has run the kit twice. Concept 4 stays deferred on its existing trigger.</w:t>
      </w:r>
    </w:p>
    <w:p>
      <w:pPr>
        <w:pStyle w:val="Heading2"/>
        <w:spacing w:after="80" w:before="280"/>
      </w:pPr>
      <w:r>
        <w:rPr>
          <w:rFonts w:ascii="Inter" w:cs="Inter" w:eastAsia="Inter" w:hAnsi="Inter"/>
          <w:b/>
          <w:bCs/>
          <w:color w:val="A8341F"/>
          <w:sz w:val="24"/>
          <w:szCs w:val="24"/>
        </w:rPr>
        <w:t xml:space="preserve">How this relates to the SaaS concept</w:t>
      </w:r>
    </w:p>
    <w:p>
      <w:r>
        <w:rPr>
          <w:rFonts w:ascii="Cormorant Garamond" w:cs="Cormorant Garamond" w:eastAsia="Cormorant Garamond" w:hAnsi="Cormorant Garamond"/>
          <w:color w:val="1F1F1F"/>
          <w:sz w:val="21"/>
          <w:szCs w:val="21"/>
        </w:rPr>
        <w:t xml:space="preserve">The two are not rivals. The kit is the SaaS with the software removed: same rubric, same blind scoring, same calibration discipline, same memo. If three paid Verdicts and two kit sales show that clients run the method themselves, the SaaS becomes the kit with the workbook replaced by a workspace, and the decision to build is made on evidence. If clients buy the Verdict but never run the kit, the SaaS should not be built at all, and Calibre stays a founder delivered service inside the retainer.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807"/>
        <w:gridCol w:w="5265"/>
      </w:tblGrid>
      <w:tr>
        <w:trPr>
          <w:tblHeader/>
        </w:trPr>
        <w:tc>
          <w:tcPr>
            <w:tcW w:type="dxa" w:w="3807"/>
            <w:tcBorders>
              <w:top w:val="single" w:color="C8A27A" w:sz="4"/>
              <w:left w:val="none" w:color="FFFFFF" w:sz="0"/>
              <w:bottom w:val="single" w:color="C8A27A" w:sz="4"/>
              <w:right w:val="none" w:color="FFFFFF" w:sz="0"/>
            </w:tcBorders>
            <w:shd w:fill="1A1410" w:val="clear"/>
            <w:tcMar>
              <w:top w:type="dxa" w:w="90"/>
              <w:left w:type="dxa" w:w="110"/>
              <w:bottom w:type="dxa" w:w="90"/>
              <w:right w:type="dxa" w:w="110"/>
            </w:tcMar>
          </w:tcPr>
          <w:p>
            <w:pPr>
              <w:spacing w:after="0" w:line="276"/>
              <w:jc w:val="left"/>
            </w:pPr>
            <w:r>
              <w:rPr>
                <w:rFonts w:ascii="Inter" w:cs="Inter" w:eastAsia="Inter" w:hAnsi="Inter"/>
                <w:b/>
                <w:bCs/>
                <w:color w:val="FFFFFF"/>
                <w:sz w:val="18"/>
                <w:szCs w:val="18"/>
              </w:rPr>
              <w:t xml:space="preserve">Evidence after twelve months</w:t>
            </w:r>
          </w:p>
        </w:tc>
        <w:tc>
          <w:tcPr>
            <w:tcW w:type="dxa" w:w="5265"/>
            <w:tcBorders>
              <w:top w:val="single" w:color="C8A27A" w:sz="4"/>
              <w:left w:val="none" w:color="FFFFFF" w:sz="0"/>
              <w:bottom w:val="single" w:color="C8A27A" w:sz="4"/>
              <w:right w:val="none" w:color="FFFFFF" w:sz="0"/>
            </w:tcBorders>
            <w:shd w:fill="1A1410" w:val="clear"/>
            <w:tcMar>
              <w:top w:type="dxa" w:w="90"/>
              <w:left w:type="dxa" w:w="110"/>
              <w:bottom w:type="dxa" w:w="90"/>
              <w:right w:type="dxa" w:w="110"/>
            </w:tcMar>
          </w:tcPr>
          <w:p>
            <w:pPr>
              <w:spacing w:after="0" w:line="276"/>
              <w:jc w:val="left"/>
            </w:pPr>
            <w:r>
              <w:rPr>
                <w:rFonts w:ascii="Inter" w:cs="Inter" w:eastAsia="Inter" w:hAnsi="Inter"/>
                <w:b/>
                <w:bCs/>
                <w:color w:val="FFFFFF"/>
                <w:sz w:val="18"/>
                <w:szCs w:val="18"/>
              </w:rPr>
              <w:t xml:space="preserve">Direction</w:t>
            </w:r>
          </w:p>
        </w:tc>
      </w:tr>
      <w:tr>
        <w:tc>
          <w:tcPr>
            <w:tcW w:type="dxa" w:w="3807"/>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Clients buy Verdicts and run the kit themselves</w:t>
            </w:r>
          </w:p>
        </w:tc>
        <w:tc>
          <w:tcPr>
            <w:tcW w:type="dxa" w:w="5265"/>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Build the SaaS per the scoping concept</w:t>
            </w:r>
          </w:p>
        </w:tc>
      </w:tr>
      <w:tr>
        <w:tc>
          <w:tcPr>
            <w:tcW w:type="dxa" w:w="3807"/>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Clients buy Verdicts, kit goes unused</w:t>
            </w:r>
          </w:p>
        </w:tc>
        <w:tc>
          <w:tcPr>
            <w:tcW w:type="dxa" w:w="5265"/>
            <w:tcBorders>
              <w:top w:val="single" w:color="C8A27A" w:sz="4"/>
              <w:left w:val="none" w:color="FFFFFF" w:sz="0"/>
              <w:bottom w:val="single" w:color="C8A27A" w:sz="4"/>
              <w:right w:val="none" w:color="FFFFFF" w:sz="0"/>
            </w:tcBorders>
            <w:shd w:fill="F5F0E8" w:val="clear"/>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Concepts 2 and 3. No software.</w:t>
            </w:r>
          </w:p>
        </w:tc>
      </w:tr>
      <w:tr>
        <w:tc>
          <w:tcPr>
            <w:tcW w:type="dxa" w:w="3807"/>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Fewer than three paid Verdicts</w:t>
            </w:r>
          </w:p>
        </w:tc>
        <w:tc>
          <w:tcPr>
            <w:tcW w:type="dxa" w:w="5265"/>
            <w:tcBorders>
              <w:top w:val="single" w:color="C8A27A" w:sz="4"/>
              <w:left w:val="none" w:color="FFFFFF" w:sz="0"/>
              <w:bottom w:val="single" w:color="C8A27A" w:sz="4"/>
              <w:right w:val="none" w:color="FFFFFF" w:sz="0"/>
            </w:tcBorders>
            <w:tcMar>
              <w:top w:type="dxa" w:w="90"/>
              <w:left w:type="dxa" w:w="110"/>
              <w:bottom w:type="dxa" w:w="90"/>
              <w:right w:type="dxa" w:w="110"/>
            </w:tcMar>
          </w:tcPr>
          <w:p>
            <w:pPr>
              <w:spacing w:after="0" w:line="276"/>
              <w:jc w:val="left"/>
            </w:pPr>
            <w:r>
              <w:rPr>
                <w:rFonts w:ascii="Cormorant Garamond" w:cs="Cormorant Garamond" w:eastAsia="Cormorant Garamond" w:hAnsi="Cormorant Garamond"/>
                <w:color w:val="1F1F1F"/>
                <w:sz w:val="19"/>
                <w:szCs w:val="19"/>
              </w:rPr>
              <w:t xml:space="preserve">Kill criterion. Calibre becomes an unadvertised Daftar line item.</w:t>
            </w:r>
          </w:p>
        </w:tc>
      </w:tr>
    </w:tbl>
    <w:p>
      <w:pPr>
        <w:spacing w:after="120"/>
      </w:pPr>
    </w:p>
    <w:p>
      <w:pPr>
        <w:spacing w:after="40" w:before="360"/>
      </w:pPr>
      <w:r>
        <w:rPr>
          <w:rFonts w:ascii="JetBrains Mono" w:cs="JetBrains Mono" w:eastAsia="JetBrains Mono" w:hAnsi="JetBrains Mono"/>
          <w:color w:val="C8A27A"/>
          <w:sz w:val="17"/>
          <w:szCs w:val="17"/>
        </w:rPr>
        <w:t xml:space="preserve">05  —————</w:t>
      </w:r>
    </w:p>
    <w:p>
      <w:pPr>
        <w:pStyle w:val="Heading1"/>
        <w:spacing w:after="120" w:before="0"/>
      </w:pPr>
      <w:r>
        <w:rPr>
          <w:rFonts w:ascii="Inter" w:cs="Inter" w:eastAsia="Inter" w:hAnsi="Inter"/>
          <w:b/>
          <w:bCs/>
          <w:color w:val="A8341F"/>
          <w:sz w:val="28"/>
          <w:szCs w:val="28"/>
        </w:rPr>
        <w:t xml:space="preserve">What does not change</w:t>
      </w:r>
    </w:p>
    <w:p>
      <w:pPr>
        <w:pStyle w:val="ListParagraph"/>
        <w:numPr>
          <w:ilvl w:val="0"/>
          <w:numId w:val="2"/>
        </w:numPr>
        <w:spacing w:after="100"/>
      </w:pPr>
      <w:r>
        <w:rPr>
          <w:rFonts w:ascii="Cormorant Garamond" w:cs="Cormorant Garamond" w:eastAsia="Cormorant Garamond" w:hAnsi="Cormorant Garamond"/>
          <w:b/>
          <w:bCs/>
          <w:color w:val="1F1F1F"/>
          <w:sz w:val="21"/>
          <w:szCs w:val="21"/>
        </w:rPr>
        <w:t xml:space="preserve">The pre conditions.</w:t>
      </w:r>
      <w:r>
        <w:rPr>
          <w:rFonts w:ascii="Cormorant Garamond" w:cs="Cormorant Garamond" w:eastAsia="Cormorant Garamond" w:hAnsi="Cormorant Garamond"/>
          <w:color w:val="1F1F1F"/>
          <w:sz w:val="21"/>
          <w:szCs w:val="21"/>
        </w:rPr>
        <w:t xml:space="preserve"> Three paid manual Verdicts, the counsel note on candidate data in Jordan and the UAE, and the allowed and prohibited use policy come first. A kit sold before the method has been run for money is a template with no evidence behind it.</w:t>
      </w:r>
    </w:p>
    <w:p>
      <w:pPr>
        <w:pStyle w:val="ListParagraph"/>
        <w:numPr>
          <w:ilvl w:val="0"/>
          <w:numId w:val="2"/>
        </w:numPr>
        <w:spacing w:after="100"/>
      </w:pPr>
      <w:r>
        <w:rPr>
          <w:rFonts w:ascii="Cormorant Garamond" w:cs="Cormorant Garamond" w:eastAsia="Cormorant Garamond" w:hAnsi="Cormorant Garamond"/>
          <w:b/>
          <w:bCs/>
          <w:color w:val="1F1F1F"/>
          <w:sz w:val="21"/>
          <w:szCs w:val="21"/>
        </w:rPr>
        <w:t xml:space="preserve">The kill criterion.</w:t>
      </w:r>
      <w:r>
        <w:rPr>
          <w:rFonts w:ascii="Cormorant Garamond" w:cs="Cormorant Garamond" w:eastAsia="Cormorant Garamond" w:hAnsi="Cormorant Garamond"/>
          <w:color w:val="1F1F1F"/>
          <w:sz w:val="21"/>
          <w:szCs w:val="21"/>
        </w:rPr>
        <w:t xml:space="preserve"> Fewer than three paid Verdicts in twelve months ends Calibre marketing in any form, per the pivot strategy.</w:t>
      </w:r>
    </w:p>
    <w:p>
      <w:pPr>
        <w:pStyle w:val="ListParagraph"/>
        <w:numPr>
          <w:ilvl w:val="0"/>
          <w:numId w:val="2"/>
        </w:numPr>
        <w:spacing w:after="100"/>
      </w:pPr>
      <w:r>
        <w:rPr>
          <w:rFonts w:ascii="Cormorant Garamond" w:cs="Cormorant Garamond" w:eastAsia="Cormorant Garamond" w:hAnsi="Cormorant Garamond"/>
          <w:b/>
          <w:bCs/>
          <w:color w:val="1F1F1F"/>
          <w:sz w:val="21"/>
          <w:szCs w:val="21"/>
        </w:rPr>
        <w:t xml:space="preserve">The outcome register.</w:t>
      </w:r>
      <w:r>
        <w:rPr>
          <w:rFonts w:ascii="Cormorant Garamond" w:cs="Cormorant Garamond" w:eastAsia="Cormorant Garamond" w:hAnsi="Cormorant Garamond"/>
          <w:color w:val="1F1F1F"/>
          <w:sz w:val="21"/>
          <w:szCs w:val="21"/>
        </w:rPr>
        <w:t xml:space="preserve"> It starts with the first Verdict, whatever the concept, because it is the only thing that ever earns Calibre the right to a benchmark claim.</w:t>
      </w:r>
    </w:p>
    <w:sectPr>
      <w:headerReference w:type="default" r:id="rId7"/>
      <w:headerReference w:type="first" r:id="rId8"/>
      <w:footerReference w:type="default" r:id="rId9"/>
      <w:footerReference w:type="first" r:id="rId10"/>
      <w:pgSz w:w="12240" w:h="15840" w:orient="portrait"/>
      <w:pgMar w:top="1440" w:right="1584" w:bottom="1440" w:left="158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6B6056"/>
        <w:sz w:val="16"/>
        <w:szCs w:val="16"/>
      </w:rPr>
      <w:t xml:space="preserve">Scoping and decision record  ·  2026  ·  Confidential  ·  </w:t>
    </w:r>
    <w:r>
      <w:rPr>
        <w:rFonts w:ascii="JetBrains Mono" w:cs="JetBrains Mono" w:eastAsia="JetBrains Mono" w:hAnsi="JetBrains Mono"/>
        <w:color w:val="C8A27A"/>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nter" w:cs="Inter" w:eastAsia="Inter" w:hAnsi="Inter"/>
        <w:color w:val="6B6056"/>
        <w:sz w:val="17"/>
        <w:szCs w:val="17"/>
      </w:rPr>
      <w:t xml:space="preserve">Calibre as a product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rFonts w:ascii="Cormorant Garamond" w:cs="Cormorant Garamond" w:eastAsia="Cormorant Garamond" w:hAnsi="Cormorant Garamond"/>
        <w:color w:val="A8341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rmorant Garamond" w:cs="Cormorant Garamond" w:eastAsia="Cormorant Garamond" w:hAnsi="Cormorant Garamond"/>
        <w:color w:val="1F1F1F"/>
        <w:sz w:val="21"/>
        <w:szCs w:val="21"/>
      </w:rPr>
    </w:rPrDefault>
    <w:pPrDefault>
      <w:pPr>
        <w:spacing w:after="160" w:line="312" w:lineRule="auto"/>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Inter" w:cs="Inter" w:eastAsia="Inter" w:hAnsi="Inter"/>
      <w:b/>
      <w:bCs/>
      <w:color w:val="A8341F"/>
      <w:sz w:val="28"/>
      <w:szCs w:val="28"/>
    </w:rPr>
  </w:style>
  <w:style w:type="paragraph" w:styleId="Heading2">
    <w:name w:val="Heading 2"/>
    <w:basedOn w:val="Normal"/>
    <w:next w:val="Normal"/>
    <w:qFormat/>
    <w:pPr>
      <w:spacing w:after="80" w:before="280"/>
      <w:outlineLvl w:val="1"/>
    </w:pPr>
    <w:rPr>
      <w:rFonts w:ascii="Inter" w:cs="Inter" w:eastAsia="Inter" w:hAnsi="Inter"/>
      <w:b/>
      <w:bCs/>
      <w:color w:val="A8341F"/>
      <w:sz w:val="24"/>
      <w:szCs w:val="24"/>
    </w:rPr>
  </w:style>
  <w:style w:type="paragraph" w:styleId="Heading3">
    <w:name w:val="Heading 3"/>
    <w:basedOn w:val="Normal"/>
    <w:next w:val="Normal"/>
    <w:qFormat/>
    <w:pPr>
      <w:spacing w:after="60" w:before="240"/>
      <w:outlineLvl w:val="2"/>
    </w:pPr>
    <w:rPr>
      <w:rFonts w:ascii="Inter" w:cs="Inter" w:eastAsia="Inter" w:hAnsi="Inter"/>
      <w:color w:val="A834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2026-09-03T08:32:15.278Z</dcterms:created>
  <dcterms:modified xsi:type="dcterms:W3CDTF">2026-09-03T08:32:15.279Z</dcterms:modified>
</cp:coreProperties>
</file>

<file path=docProps/custom.xml><?xml version="1.0" encoding="utf-8"?>
<Properties xmlns="http://schemas.openxmlformats.org/officeDocument/2006/custom-properties" xmlns:vt="http://schemas.openxmlformats.org/officeDocument/2006/docPropsVTypes"/>
</file>