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5ad272ee57941f7a61cd91fbe3f3d8c4ca107a5"/>
    <w:p>
      <w:pPr>
        <w:pStyle w:val="Heading1"/>
      </w:pPr>
      <w:r>
        <w:t xml:space="preserve">Top 100 Law Firms: Legal AI Tool Adoption Report</w:t>
      </w:r>
    </w:p>
    <w:p>
      <w:pPr>
        <w:pStyle w:val="FirstParagraph"/>
      </w:pPr>
      <w:r>
        <w:rPr>
          <w:bCs/>
          <w:b/>
        </w:rPr>
        <w:t xml:space="preserve">Date:</w:t>
      </w:r>
      <w:r>
        <w:t xml:space="preserve"> </w:t>
      </w:r>
      <w:r>
        <w:t xml:space="preserve">March 2026</w:t>
      </w:r>
      <w:r>
        <w:t xml:space="preserve"> </w:t>
      </w:r>
      <w:r>
        <w:rPr>
          <w:bCs/>
          <w:b/>
        </w:rPr>
        <w:t xml:space="preserve">Scope:</w:t>
      </w:r>
      <w:r>
        <w:t xml:space="preserve"> </w:t>
      </w:r>
      <w:r>
        <w:t xml:space="preserve">Am Law 100 and Global 100 law firms — third-party legal AI acquisitions, proprietary tool development, and the</w:t>
      </w:r>
      <w:r>
        <w:t xml:space="preserve"> </w:t>
      </w:r>
      <w:r>
        <w:t xml:space="preserve">“</w:t>
      </w:r>
      <w:r>
        <w:t xml:space="preserve">build-then-buy</w:t>
      </w:r>
      <w:r>
        <w:t xml:space="preserve">”</w:t>
      </w:r>
      <w:r>
        <w:t xml:space="preserve"> </w:t>
      </w:r>
      <w:r>
        <w:t xml:space="preserve">phenomenon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legal AI market has undergone a dramatic transformation between 2023 and early 2026. Gross revenue across the Am Law 100 climbed 13.3% to $158.3 billion in 2024, and technology spending surged 9.7% — the fastest real growth ever recorded in the legal industry. Nearly 8 in 10 of the top 20 firms have adopted third-party AI tools, while almost half have developed or customised their own systems.</w:t>
      </w:r>
    </w:p>
    <w:p>
      <w:pPr>
        <w:pStyle w:val="BodyText"/>
      </w:pPr>
      <w:r>
        <w:t xml:space="preserve">Three third-party legal AI platforms dominate the market:</w:t>
      </w:r>
    </w:p>
    <w:p>
      <w:pPr>
        <w:numPr>
          <w:ilvl w:val="0"/>
          <w:numId w:val="1001"/>
        </w:numPr>
        <w:pStyle w:val="Compact"/>
      </w:pPr>
      <w:r>
        <w:rPr>
          <w:bCs/>
          <w:b/>
        </w:rPr>
        <w:t xml:space="preserve">Harvey</w:t>
      </w:r>
      <w:r>
        <w:t xml:space="preserve"> </w:t>
      </w:r>
      <w:r>
        <w:t xml:space="preserve">— ~1,000+ customers across 60+ countries; majority of Am Law 100 firms; $190M ARR (end 2025); valued at ~$8–11B</w:t>
      </w:r>
    </w:p>
    <w:p>
      <w:pPr>
        <w:numPr>
          <w:ilvl w:val="0"/>
          <w:numId w:val="1001"/>
        </w:numPr>
        <w:pStyle w:val="Compact"/>
      </w:pPr>
      <w:r>
        <w:rPr>
          <w:bCs/>
          <w:b/>
        </w:rPr>
        <w:t xml:space="preserve">Legora</w:t>
      </w:r>
      <w:r>
        <w:t xml:space="preserve"> </w:t>
      </w:r>
      <w:r>
        <w:t xml:space="preserve">(formerly Leya) — 400+ law firms and in-house teams across 16 countries; $265M total funding</w:t>
      </w:r>
    </w:p>
    <w:p>
      <w:pPr>
        <w:numPr>
          <w:ilvl w:val="0"/>
          <w:numId w:val="1001"/>
        </w:numPr>
        <w:pStyle w:val="Compact"/>
      </w:pPr>
      <w:r>
        <w:rPr>
          <w:bCs/>
          <w:b/>
        </w:rPr>
        <w:t xml:space="preserve">DeepJudge</w:t>
      </w:r>
      <w:r>
        <w:t xml:space="preserve"> </w:t>
      </w:r>
      <w:r>
        <w:t xml:space="preserve">— Ranked #1 in 2025 SKILLS.law NPS survey; 500%+ YoY revenue growth; $41.2M Series A</w:t>
      </w:r>
    </w:p>
    <w:p>
      <w:pPr>
        <w:pStyle w:val="FirstParagraph"/>
      </w:pPr>
      <w:r>
        <w:t xml:space="preserve">A critical trend has emerged:</w:t>
      </w:r>
      <w:r>
        <w:t xml:space="preserve"> </w:t>
      </w:r>
      <w:r>
        <w:rPr>
          <w:bCs/>
          <w:b/>
        </w:rPr>
        <w:t xml:space="preserve">several firms that initially built proprietary AI tools on Azure OpenAI or similar infrastructure have subsequently acquired third-party platforms</w:t>
      </w:r>
      <w:r>
        <w:t xml:space="preserve"> </w:t>
      </w:r>
      <w:r>
        <w:t xml:space="preserve">— acknowledging that purpose-built legal AI products outperform homegrown wrappers for complex workflows like large-scale document review and due diligence.</w:t>
      </w:r>
    </w:p>
    <w:p>
      <w:r>
        <w:pict>
          <v:rect style="width:0;height:1.5pt" o:hralign="center" o:hrstd="t" o:hr="t"/>
        </w:pict>
      </w:r>
    </w:p>
    <w:bookmarkEnd w:id="20"/>
    <w:bookmarkStart w:id="21" w:name="table-of-contents"/>
    <w:p>
      <w:pPr>
        <w:pStyle w:val="Heading2"/>
      </w:pPr>
      <w:r>
        <w:t xml:space="preserve">Table of Contents</w:t>
      </w:r>
    </w:p>
    <w:p>
      <w:pPr>
        <w:numPr>
          <w:ilvl w:val="0"/>
          <w:numId w:val="1002"/>
        </w:numPr>
        <w:pStyle w:val="Compact"/>
      </w:pPr>
      <w:hyperlink w:anchor="X89f95015459a66d8a815a9a730cb8c2e9f1f872">
        <w:r>
          <w:rPr>
            <w:rStyle w:val="Hyperlink"/>
          </w:rPr>
          <w:t xml:space="preserve">Methodology and Definitions</w:t>
        </w:r>
      </w:hyperlink>
    </w:p>
    <w:p>
      <w:pPr>
        <w:numPr>
          <w:ilvl w:val="0"/>
          <w:numId w:val="1002"/>
        </w:numPr>
        <w:pStyle w:val="Compact"/>
      </w:pPr>
      <w:hyperlink w:anchor="X7f7b7f13b5860375102607513c2496ce84aef84">
        <w:r>
          <w:rPr>
            <w:rStyle w:val="Hyperlink"/>
          </w:rPr>
          <w:t xml:space="preserve">Third-Party Legal AI Vendor Overview</w:t>
        </w:r>
      </w:hyperlink>
    </w:p>
    <w:p>
      <w:pPr>
        <w:numPr>
          <w:ilvl w:val="0"/>
          <w:numId w:val="1002"/>
        </w:numPr>
        <w:pStyle w:val="Compact"/>
      </w:pPr>
      <w:hyperlink w:anchor="Xc84d9b37667b07ba9ee447b9ff6714bca8519a7">
        <w:r>
          <w:rPr>
            <w:rStyle w:val="Hyperlink"/>
          </w:rPr>
          <w:t xml:space="preserve">Master Table: Top 100 Firms and Their AI Strategies</w:t>
        </w:r>
      </w:hyperlink>
    </w:p>
    <w:p>
      <w:pPr>
        <w:numPr>
          <w:ilvl w:val="0"/>
          <w:numId w:val="1002"/>
        </w:numPr>
        <w:pStyle w:val="Compact"/>
      </w:pPr>
      <w:hyperlink w:anchor="X08deef6cb7ea67c74ae1fe0da3289af8889eebc">
        <w:r>
          <w:rPr>
            <w:rStyle w:val="Hyperlink"/>
          </w:rPr>
          <w:t xml:space="preserve">Firms That Built Proprietary Tools Then Acquired Third-Party Solutions</w:t>
        </w:r>
      </w:hyperlink>
    </w:p>
    <w:p>
      <w:pPr>
        <w:numPr>
          <w:ilvl w:val="0"/>
          <w:numId w:val="1002"/>
        </w:numPr>
        <w:pStyle w:val="Compact"/>
      </w:pPr>
      <w:hyperlink w:anchor="X742739bf142c4d0992c7b2321a9d11a2c5ce1d8">
        <w:r>
          <w:rPr>
            <w:rStyle w:val="Hyperlink"/>
          </w:rPr>
          <w:t xml:space="preserve">Firms With Proprietary/In-House AI Tools</w:t>
        </w:r>
      </w:hyperlink>
    </w:p>
    <w:p>
      <w:pPr>
        <w:numPr>
          <w:ilvl w:val="0"/>
          <w:numId w:val="1002"/>
        </w:numPr>
        <w:pStyle w:val="Compact"/>
      </w:pPr>
      <w:hyperlink w:anchor="X6f9acc000649fa217f3531322ba661d719dfe7b">
        <w:r>
          <w:rPr>
            <w:rStyle w:val="Hyperlink"/>
          </w:rPr>
          <w:t xml:space="preserve">Firms Using Third-Party Legal AI Tools</w:t>
        </w:r>
      </w:hyperlink>
    </w:p>
    <w:p>
      <w:pPr>
        <w:numPr>
          <w:ilvl w:val="0"/>
          <w:numId w:val="1002"/>
        </w:numPr>
        <w:pStyle w:val="Compact"/>
      </w:pPr>
      <w:hyperlink w:anchor="X081e03b9d3b64dd358b9c28ef296681e509398e">
        <w:r>
          <w:rPr>
            <w:rStyle w:val="Hyperlink"/>
          </w:rPr>
          <w:t xml:space="preserve">Key Trends and Analysis</w:t>
        </w:r>
      </w:hyperlink>
    </w:p>
    <w:p>
      <w:pPr>
        <w:numPr>
          <w:ilvl w:val="0"/>
          <w:numId w:val="1002"/>
        </w:numPr>
        <w:pStyle w:val="Compact"/>
      </w:pPr>
      <w:hyperlink w:anchor="Xd5344571ec7db3839c540adde2054e1c3a62a30">
        <w:r>
          <w:rPr>
            <w:rStyle w:val="Hyperlink"/>
          </w:rPr>
          <w:t xml:space="preserve">Sources</w:t>
        </w:r>
      </w:hyperlink>
    </w:p>
    <w:p>
      <w:r>
        <w:pict>
          <v:rect style="width:0;height:1.5pt" o:hralign="center" o:hrstd="t" o:hr="t"/>
        </w:pict>
      </w:r>
    </w:p>
    <w:bookmarkEnd w:id="21"/>
    <w:bookmarkStart w:id="22" w:name="methodology-and-definitions"/>
    <w:p>
      <w:pPr>
        <w:pStyle w:val="Heading2"/>
      </w:pPr>
      <w:r>
        <w:t xml:space="preserve">1. Methodology and Definitions</w:t>
      </w:r>
    </w:p>
    <w:p>
      <w:pPr>
        <w:pStyle w:val="FirstParagraph"/>
      </w:pPr>
      <w:r>
        <w:rPr>
          <w:bCs/>
          <w:b/>
        </w:rPr>
        <w:t xml:space="preserve">Firm ranking</w:t>
      </w:r>
      <w:r>
        <w:t xml:space="preserve"> </w:t>
      </w:r>
      <w:r>
        <w:t xml:space="preserve">is based on the 2025 Am Law 100 (by gross revenue) supplemented by key Global 100 firms (particularly Magic Circle and major international firms) that are significant players in legal AI adoption.</w:t>
      </w:r>
    </w:p>
    <w:p>
      <w:pPr>
        <w:pStyle w:val="BodyText"/>
      </w:pPr>
      <w:r>
        <w:rPr>
          <w:bCs/>
          <w:b/>
        </w:rPr>
        <w:t xml:space="preserve">Definitions:</w:t>
      </w:r>
      <w:r>
        <w:t xml:space="preserve"> </w:t>
      </w:r>
      <w:r>
        <w:t xml:space="preserve">-</w:t>
      </w:r>
      <w:r>
        <w:t xml:space="preserve"> </w:t>
      </w:r>
      <w:r>
        <w:rPr>
          <w:bCs/>
          <w:b/>
        </w:rPr>
        <w:t xml:space="preserve">Third-Party Tool:</w:t>
      </w:r>
      <w:r>
        <w:t xml:space="preserve"> </w:t>
      </w:r>
      <w:r>
        <w:t xml:space="preserve">A commercial legal AI product licensed from an external vendor (e.g., Harvey, Legora, DeepJudge, CoCounsel, Kira Systems)</w:t>
      </w:r>
      <w:r>
        <w:t xml:space="preserve"> </w:t>
      </w:r>
      <w:r>
        <w:t xml:space="preserve">-</w:t>
      </w:r>
      <w:r>
        <w:t xml:space="preserve"> </w:t>
      </w:r>
      <w:r>
        <w:rPr>
          <w:bCs/>
          <w:b/>
        </w:rPr>
        <w:t xml:space="preserve">Proprietary/In-House Tool:</w:t>
      </w:r>
      <w:r>
        <w:t xml:space="preserve"> </w:t>
      </w:r>
      <w:r>
        <w:t xml:space="preserve">An AI tool built by the firm’s own innovation or technology team, typically on infrastructure like Microsoft Azure OpenAI, Google Cloud, or AWS</w:t>
      </w:r>
      <w:r>
        <w:t xml:space="preserve"> </w:t>
      </w:r>
      <w:r>
        <w:t xml:space="preserve">-</w:t>
      </w:r>
      <w:r>
        <w:t xml:space="preserve"> </w:t>
      </w:r>
      <w:r>
        <w:rPr>
          <w:bCs/>
          <w:b/>
        </w:rPr>
        <w:t xml:space="preserve">Build-Then-Buy:</w:t>
      </w:r>
      <w:r>
        <w:t xml:space="preserve"> </w:t>
      </w:r>
      <w:r>
        <w:t xml:space="preserve">Firms that initially developed proprietary AI solutions but subsequently acquired or supplemented with third-party legal AI platforms — the focus area of this report</w:t>
      </w:r>
    </w:p>
    <w:p>
      <w:pPr>
        <w:pStyle w:val="BodyText"/>
      </w:pPr>
      <w:r>
        <w:rPr>
          <w:bCs/>
          <w:b/>
        </w:rPr>
        <w:t xml:space="preserve">Data sources:</w:t>
      </w:r>
      <w:r>
        <w:t xml:space="preserve"> </w:t>
      </w:r>
      <w:r>
        <w:t xml:space="preserve">Public announcements, press releases, vendor customer pages, industry publications (Artificial Lawyer, Legal IT Insider, LawNext, Law.com), and analyst reports through March 2026.</w:t>
      </w:r>
    </w:p>
    <w:p>
      <w:pPr>
        <w:pStyle w:val="BodyText"/>
      </w:pPr>
      <w:r>
        <w:rPr>
          <w:bCs/>
          <w:b/>
        </w:rPr>
        <w:t xml:space="preserve">Important caveat:</w:t>
      </w:r>
      <w:r>
        <w:t xml:space="preserve"> </w:t>
      </w:r>
      <w:r>
        <w:t xml:space="preserve">Many firms do not publicly disclose their AI vendor relationships. The absence of a firm from a vendor’s customer list does not necessarily mean the firm does not use that vendor. Harvey, for instance, claims a</w:t>
      </w:r>
      <w:r>
        <w:t xml:space="preserve"> </w:t>
      </w:r>
      <w:r>
        <w:t xml:space="preserve">“</w:t>
      </w:r>
      <w:r>
        <w:t xml:space="preserve">majority of Am Law 100 firms</w:t>
      </w:r>
      <w:r>
        <w:t xml:space="preserve">”</w:t>
      </w:r>
      <w:r>
        <w:t xml:space="preserve"> </w:t>
      </w:r>
      <w:r>
        <w:t xml:space="preserve">as customers but has only publicly named a handful.</w:t>
      </w:r>
    </w:p>
    <w:p>
      <w:r>
        <w:pict>
          <v:rect style="width:0;height:1.5pt" o:hralign="center" o:hrstd="t" o:hr="t"/>
        </w:pict>
      </w:r>
    </w:p>
    <w:bookmarkEnd w:id="22"/>
    <w:bookmarkStart w:id="28" w:name="third-party-legal-ai-vendor-overview"/>
    <w:p>
      <w:pPr>
        <w:pStyle w:val="Heading2"/>
      </w:pPr>
      <w:r>
        <w:t xml:space="preserve">2. Third-Party Legal AI Vendor Overview</w:t>
      </w:r>
    </w:p>
    <w:bookmarkStart w:id="23" w:name="harvey"/>
    <w:p>
      <w:pPr>
        <w:pStyle w:val="Heading3"/>
      </w:pPr>
      <w:r>
        <w:t xml:space="preserve">Harvey</w:t>
      </w:r>
    </w:p>
    <w:p>
      <w:pPr>
        <w:numPr>
          <w:ilvl w:val="0"/>
          <w:numId w:val="1003"/>
        </w:numPr>
        <w:pStyle w:val="Compact"/>
      </w:pPr>
      <w:r>
        <w:rPr>
          <w:bCs/>
          <w:b/>
        </w:rPr>
        <w:t xml:space="preserve">Founded:</w:t>
      </w:r>
      <w:r>
        <w:t xml:space="preserve"> </w:t>
      </w:r>
      <w:r>
        <w:t xml:space="preserve">2022 (San Francisco)</w:t>
      </w:r>
    </w:p>
    <w:p>
      <w:pPr>
        <w:numPr>
          <w:ilvl w:val="0"/>
          <w:numId w:val="1003"/>
        </w:numPr>
        <w:pStyle w:val="Compact"/>
      </w:pPr>
      <w:r>
        <w:rPr>
          <w:bCs/>
          <w:b/>
        </w:rPr>
        <w:t xml:space="preserve">Technology:</w:t>
      </w:r>
      <w:r>
        <w:t xml:space="preserve"> </w:t>
      </w:r>
      <w:r>
        <w:t xml:space="preserve">Built on Azure AI infrastructure (OpenAI o1-preview, o1-mini, GPT-4, GPT-4 Turbo) plus proprietary fine-tuned models</w:t>
      </w:r>
    </w:p>
    <w:p>
      <w:pPr>
        <w:numPr>
          <w:ilvl w:val="0"/>
          <w:numId w:val="1003"/>
        </w:numPr>
        <w:pStyle w:val="Compact"/>
      </w:pPr>
      <w:r>
        <w:rPr>
          <w:bCs/>
          <w:b/>
        </w:rPr>
        <w:t xml:space="preserve">Capabilities:</w:t>
      </w:r>
      <w:r>
        <w:t xml:space="preserve"> </w:t>
      </w:r>
      <w:r>
        <w:t xml:space="preserve">Legal drafting (#1 ranked), due diligence (#2 ranked), contract analysis, compliance, agentic workflows</w:t>
      </w:r>
    </w:p>
    <w:p>
      <w:pPr>
        <w:numPr>
          <w:ilvl w:val="0"/>
          <w:numId w:val="1003"/>
        </w:numPr>
        <w:pStyle w:val="Compact"/>
      </w:pPr>
      <w:r>
        <w:rPr>
          <w:bCs/>
          <w:b/>
        </w:rPr>
        <w:t xml:space="preserve">Scale:</w:t>
      </w:r>
      <w:r>
        <w:t xml:space="preserve"> </w:t>
      </w:r>
      <w:r>
        <w:t xml:space="preserve">1,000+ customers, 60+ countries, $190M ARR (end 2025)</w:t>
      </w:r>
    </w:p>
    <w:p>
      <w:pPr>
        <w:numPr>
          <w:ilvl w:val="0"/>
          <w:numId w:val="1003"/>
        </w:numPr>
        <w:pStyle w:val="Compact"/>
      </w:pPr>
      <w:r>
        <w:rPr>
          <w:bCs/>
          <w:b/>
        </w:rPr>
        <w:t xml:space="preserve">Funding trajectory:</w:t>
      </w:r>
      <w:r>
        <w:t xml:space="preserve"> </w:t>
      </w:r>
      <w:r>
        <w:t xml:space="preserve">$3B (Feb 2025) → $5B (Jun 2025) → $8B (Dec 2025) → ~$11B (Feb 2026, reported)</w:t>
      </w:r>
    </w:p>
    <w:p>
      <w:pPr>
        <w:numPr>
          <w:ilvl w:val="0"/>
          <w:numId w:val="1003"/>
        </w:numPr>
        <w:pStyle w:val="Compact"/>
      </w:pPr>
      <w:r>
        <w:rPr>
          <w:bCs/>
          <w:b/>
        </w:rPr>
        <w:t xml:space="preserve">Notable moves:</w:t>
      </w:r>
      <w:r>
        <w:t xml:space="preserve"> </w:t>
      </w:r>
      <w:r>
        <w:t xml:space="preserve">Acquired Hexus (Jan 2026); hired Tara Waters (ex-Ashurst CDO), Farrah Pepper, Joe Marando; brand partnership with Gabriel Macht (Feb 2026)</w:t>
      </w:r>
    </w:p>
    <w:bookmarkEnd w:id="23"/>
    <w:bookmarkStart w:id="24" w:name="legora-formerly-leya"/>
    <w:p>
      <w:pPr>
        <w:pStyle w:val="Heading3"/>
      </w:pPr>
      <w:r>
        <w:t xml:space="preserve">Legora (formerly Leya)</w:t>
      </w:r>
    </w:p>
    <w:p>
      <w:pPr>
        <w:numPr>
          <w:ilvl w:val="0"/>
          <w:numId w:val="1004"/>
        </w:numPr>
        <w:pStyle w:val="Compact"/>
      </w:pPr>
      <w:r>
        <w:rPr>
          <w:bCs/>
          <w:b/>
        </w:rPr>
        <w:t xml:space="preserve">Founded:</w:t>
      </w:r>
      <w:r>
        <w:t xml:space="preserve"> </w:t>
      </w:r>
      <w:r>
        <w:t xml:space="preserve">2023 (Stockholm, Sweden)</w:t>
      </w:r>
    </w:p>
    <w:p>
      <w:pPr>
        <w:numPr>
          <w:ilvl w:val="0"/>
          <w:numId w:val="1004"/>
        </w:numPr>
        <w:pStyle w:val="Compact"/>
      </w:pPr>
      <w:r>
        <w:rPr>
          <w:bCs/>
          <w:b/>
        </w:rPr>
        <w:t xml:space="preserve">Technology:</w:t>
      </w:r>
      <w:r>
        <w:t xml:space="preserve"> </w:t>
      </w:r>
      <w:r>
        <w:t xml:space="preserve">Built on Microsoft Azure; multi-agentic architecture, RAG, large-scale parallelisation</w:t>
      </w:r>
    </w:p>
    <w:p>
      <w:pPr>
        <w:numPr>
          <w:ilvl w:val="0"/>
          <w:numId w:val="1004"/>
        </w:numPr>
        <w:pStyle w:val="Compact"/>
      </w:pPr>
      <w:r>
        <w:rPr>
          <w:bCs/>
          <w:b/>
        </w:rPr>
        <w:t xml:space="preserve">Capabilities:</w:t>
      </w:r>
      <w:r>
        <w:t xml:space="preserve"> </w:t>
      </w:r>
      <w:r>
        <w:t xml:space="preserve">Document review (up to 100,000 documents in parallel), legal research, drafting, workflow automation, tabular review</w:t>
      </w:r>
    </w:p>
    <w:p>
      <w:pPr>
        <w:numPr>
          <w:ilvl w:val="0"/>
          <w:numId w:val="1004"/>
        </w:numPr>
        <w:pStyle w:val="Compact"/>
      </w:pPr>
      <w:r>
        <w:rPr>
          <w:bCs/>
          <w:b/>
        </w:rPr>
        <w:t xml:space="preserve">Scale:</w:t>
      </w:r>
      <w:r>
        <w:t xml:space="preserve"> </w:t>
      </w:r>
      <w:r>
        <w:t xml:space="preserve">400+ law firms and in-house teams across 16 countries</w:t>
      </w:r>
    </w:p>
    <w:p>
      <w:pPr>
        <w:numPr>
          <w:ilvl w:val="0"/>
          <w:numId w:val="1004"/>
        </w:numPr>
        <w:pStyle w:val="Compact"/>
      </w:pPr>
      <w:r>
        <w:rPr>
          <w:bCs/>
          <w:b/>
        </w:rPr>
        <w:t xml:space="preserve">Funding:</w:t>
      </w:r>
      <w:r>
        <w:t xml:space="preserve"> </w:t>
      </w:r>
      <w:r>
        <w:t xml:space="preserve">$265M total (including $150M round in late 2025); $675M valuation (May 2025)</w:t>
      </w:r>
    </w:p>
    <w:p>
      <w:pPr>
        <w:numPr>
          <w:ilvl w:val="0"/>
          <w:numId w:val="1004"/>
        </w:numPr>
        <w:pStyle w:val="Compact"/>
      </w:pPr>
      <w:r>
        <w:rPr>
          <w:bCs/>
          <w:b/>
        </w:rPr>
        <w:t xml:space="preserve">Notable:</w:t>
      </w:r>
      <w:r>
        <w:t xml:space="preserve"> </w:t>
      </w:r>
      <w:r>
        <w:t xml:space="preserve">Launched</w:t>
      </w:r>
      <w:r>
        <w:t xml:space="preserve"> </w:t>
      </w:r>
      <w:r>
        <w:t xml:space="preserve">“</w:t>
      </w:r>
      <w:r>
        <w:t xml:space="preserve">Portal</w:t>
      </w:r>
      <w:r>
        <w:t xml:space="preserve">”</w:t>
      </w:r>
      <w:r>
        <w:t xml:space="preserve"> </w:t>
      </w:r>
      <w:r>
        <w:t xml:space="preserve">product for firm-client collaboration (Q1 2026)</w:t>
      </w:r>
    </w:p>
    <w:bookmarkEnd w:id="24"/>
    <w:bookmarkStart w:id="25" w:name="deepjudge"/>
    <w:p>
      <w:pPr>
        <w:pStyle w:val="Heading3"/>
      </w:pPr>
      <w:r>
        <w:t xml:space="preserve">DeepJudge</w:t>
      </w:r>
    </w:p>
    <w:p>
      <w:pPr>
        <w:numPr>
          <w:ilvl w:val="0"/>
          <w:numId w:val="1005"/>
        </w:numPr>
        <w:pStyle w:val="Compact"/>
      </w:pPr>
      <w:r>
        <w:rPr>
          <w:bCs/>
          <w:b/>
        </w:rPr>
        <w:t xml:space="preserve">Founded:</w:t>
      </w:r>
      <w:r>
        <w:t xml:space="preserve"> </w:t>
      </w:r>
      <w:r>
        <w:t xml:space="preserve">Zurich, Switzerland (ETH Zurich AI researchers)</w:t>
      </w:r>
    </w:p>
    <w:p>
      <w:pPr>
        <w:numPr>
          <w:ilvl w:val="0"/>
          <w:numId w:val="1005"/>
        </w:numPr>
        <w:pStyle w:val="Compact"/>
      </w:pPr>
      <w:r>
        <w:rPr>
          <w:bCs/>
          <w:b/>
        </w:rPr>
        <w:t xml:space="preserve">Technology:</w:t>
      </w:r>
      <w:r>
        <w:t xml:space="preserve"> </w:t>
      </w:r>
      <w:r>
        <w:t xml:space="preserve">Enterprise search and retrieval-augmented AI agents; connects to DMS, email, intranet, client portals</w:t>
      </w:r>
    </w:p>
    <w:p>
      <w:pPr>
        <w:numPr>
          <w:ilvl w:val="0"/>
          <w:numId w:val="1005"/>
        </w:numPr>
        <w:pStyle w:val="Compact"/>
      </w:pPr>
      <w:r>
        <w:rPr>
          <w:bCs/>
          <w:b/>
        </w:rPr>
        <w:t xml:space="preserve">Capabilities:</w:t>
      </w:r>
      <w:r>
        <w:t xml:space="preserve"> </w:t>
      </w:r>
      <w:r>
        <w:t xml:space="preserve">Cross-system precision search, knowledge management, AI workflows</w:t>
      </w:r>
    </w:p>
    <w:p>
      <w:pPr>
        <w:numPr>
          <w:ilvl w:val="0"/>
          <w:numId w:val="1005"/>
        </w:numPr>
        <w:pStyle w:val="Compact"/>
      </w:pPr>
      <w:r>
        <w:rPr>
          <w:bCs/>
          <w:b/>
        </w:rPr>
        <w:t xml:space="preserve">Scale:</w:t>
      </w:r>
      <w:r>
        <w:t xml:space="preserve"> </w:t>
      </w:r>
      <w:r>
        <w:t xml:space="preserve">500%+ YoY revenue growth; $41.2M Series A (led by Felicis, Coatue)</w:t>
      </w:r>
    </w:p>
    <w:p>
      <w:pPr>
        <w:numPr>
          <w:ilvl w:val="0"/>
          <w:numId w:val="1005"/>
        </w:numPr>
        <w:pStyle w:val="Compact"/>
      </w:pPr>
      <w:r>
        <w:rPr>
          <w:bCs/>
          <w:b/>
        </w:rPr>
        <w:t xml:space="preserve">Recognition:</w:t>
      </w:r>
      <w:r>
        <w:t xml:space="preserve"> </w:t>
      </w:r>
      <w:r>
        <w:t xml:space="preserve">#1 Most Recommended AI Vendor in 2025 SKILLS.law NPS survey</w:t>
      </w:r>
    </w:p>
    <w:bookmarkEnd w:id="25"/>
    <w:bookmarkStart w:id="26" w:name="thomson-reuters-cocounsel"/>
    <w:p>
      <w:pPr>
        <w:pStyle w:val="Heading3"/>
      </w:pPr>
      <w:r>
        <w:t xml:space="preserve">Thomson Reuters CoCounsel</w:t>
      </w:r>
    </w:p>
    <w:p>
      <w:pPr>
        <w:numPr>
          <w:ilvl w:val="0"/>
          <w:numId w:val="1006"/>
        </w:numPr>
        <w:pStyle w:val="Compact"/>
      </w:pPr>
      <w:r>
        <w:rPr>
          <w:bCs/>
          <w:b/>
        </w:rPr>
        <w:t xml:space="preserve">Technology:</w:t>
      </w:r>
      <w:r>
        <w:t xml:space="preserve"> </w:t>
      </w:r>
      <w:r>
        <w:t xml:space="preserve">Agentic AI built on Westlaw content; uses Anthropic Claude, OpenAI GPT, Google Gemini plus proprietary models</w:t>
      </w:r>
    </w:p>
    <w:p>
      <w:pPr>
        <w:numPr>
          <w:ilvl w:val="0"/>
          <w:numId w:val="1006"/>
        </w:numPr>
        <w:pStyle w:val="Compact"/>
      </w:pPr>
      <w:r>
        <w:rPr>
          <w:bCs/>
          <w:b/>
        </w:rPr>
        <w:t xml:space="preserve">Scale:</w:t>
      </w:r>
      <w:r>
        <w:t xml:space="preserve"> </w:t>
      </w:r>
      <w:r>
        <w:t xml:space="preserve">1 million+ professionals across 107 countries (Feb 2026)</w:t>
      </w:r>
    </w:p>
    <w:p>
      <w:pPr>
        <w:numPr>
          <w:ilvl w:val="0"/>
          <w:numId w:val="1006"/>
        </w:numPr>
        <w:pStyle w:val="Compact"/>
      </w:pPr>
      <w:r>
        <w:rPr>
          <w:bCs/>
          <w:b/>
        </w:rPr>
        <w:t xml:space="preserve">Capabilities:</w:t>
      </w:r>
      <w:r>
        <w:t xml:space="preserve"> </w:t>
      </w:r>
      <w:r>
        <w:t xml:space="preserve">Deep legal research, agentic workflows, document review, contract analysis</w:t>
      </w:r>
    </w:p>
    <w:bookmarkEnd w:id="26"/>
    <w:bookmarkStart w:id="27" w:name="other-notable-vendors"/>
    <w:p>
      <w:pPr>
        <w:pStyle w:val="Heading3"/>
      </w:pPr>
      <w:r>
        <w:t xml:space="preserve">Other Notable Vendors</w:t>
      </w:r>
    </w:p>
    <w:p>
      <w:pPr>
        <w:numPr>
          <w:ilvl w:val="0"/>
          <w:numId w:val="1007"/>
        </w:numPr>
        <w:pStyle w:val="Compact"/>
      </w:pPr>
      <w:r>
        <w:rPr>
          <w:bCs/>
          <w:b/>
        </w:rPr>
        <w:t xml:space="preserve">Kira Systems</w:t>
      </w:r>
      <w:r>
        <w:t xml:space="preserve"> </w:t>
      </w:r>
      <w:r>
        <w:t xml:space="preserve">— Contract review and due diligence (used by DLA Piper, Clifford Chance, Freshfields, Goodwin)</w:t>
      </w:r>
    </w:p>
    <w:p>
      <w:pPr>
        <w:numPr>
          <w:ilvl w:val="0"/>
          <w:numId w:val="1007"/>
        </w:numPr>
        <w:pStyle w:val="Compact"/>
      </w:pPr>
      <w:r>
        <w:rPr>
          <w:bCs/>
          <w:b/>
        </w:rPr>
        <w:t xml:space="preserve">Relativity aiR</w:t>
      </w:r>
      <w:r>
        <w:t xml:space="preserve"> </w:t>
      </w:r>
      <w:r>
        <w:t xml:space="preserve">— E-discovery and document review (Azure OpenAI/GPT-4)</w:t>
      </w:r>
    </w:p>
    <w:p>
      <w:pPr>
        <w:numPr>
          <w:ilvl w:val="0"/>
          <w:numId w:val="1007"/>
        </w:numPr>
        <w:pStyle w:val="Compact"/>
      </w:pPr>
      <w:r>
        <w:rPr>
          <w:bCs/>
          <w:b/>
        </w:rPr>
        <w:t xml:space="preserve">Centari, Syntheia, Lega, SimplyAgree, Avvoka, vLex, Draftwise</w:t>
      </w:r>
      <w:r>
        <w:t xml:space="preserve"> </w:t>
      </w:r>
      <w:r>
        <w:t xml:space="preserve">— Various specialist legal AI tools ranked in the 2025 SKILLS Top 15</w:t>
      </w:r>
    </w:p>
    <w:p>
      <w:r>
        <w:pict>
          <v:rect style="width:0;height:1.5pt" o:hralign="center" o:hrstd="t" o:hr="t"/>
        </w:pict>
      </w:r>
    </w:p>
    <w:bookmarkEnd w:id="27"/>
    <w:bookmarkEnd w:id="28"/>
    <w:bookmarkStart w:id="31" w:name="Xdb6600323ec60e1bafada428546f7a95f979056"/>
    <w:p>
      <w:pPr>
        <w:pStyle w:val="Heading2"/>
      </w:pPr>
      <w:r>
        <w:t xml:space="preserve">3. Master Table: Top 100 Firms and Their AI Strategies</w:t>
      </w:r>
    </w:p>
    <w:p>
      <w:pPr>
        <w:pStyle w:val="FirstParagraph"/>
      </w:pPr>
      <w:r>
        <w:t xml:space="preserve">The table below covers the Am Law 100 firms (ranked by 2024 gross revenue) plus key global firms. Where specific tool information is publicly confirmed, it is noted. Many firms — especially elite US litigation/transactional firms — have not publicly disclosed their specific AI vendor choices.</w:t>
      </w:r>
    </w:p>
    <w:bookmarkStart w:id="29" w:name="legend"/>
    <w:p>
      <w:pPr>
        <w:pStyle w:val="Heading3"/>
      </w:pPr>
      <w:r>
        <w:t xml:space="preserve">Legend</w:t>
      </w:r>
    </w:p>
    <w:p>
      <w:pPr>
        <w:numPr>
          <w:ilvl w:val="0"/>
          <w:numId w:val="1008"/>
        </w:numPr>
        <w:pStyle w:val="Compact"/>
      </w:pPr>
      <w:r>
        <w:rPr>
          <w:bCs/>
          <w:b/>
        </w:rPr>
        <w:t xml:space="preserve">H</w:t>
      </w:r>
      <w:r>
        <w:t xml:space="preserve"> </w:t>
      </w:r>
      <w:r>
        <w:t xml:space="preserve">= Harvey |</w:t>
      </w:r>
      <w:r>
        <w:t xml:space="preserve"> </w:t>
      </w:r>
      <w:r>
        <w:rPr>
          <w:bCs/>
          <w:b/>
        </w:rPr>
        <w:t xml:space="preserve">L</w:t>
      </w:r>
      <w:r>
        <w:t xml:space="preserve"> </w:t>
      </w:r>
      <w:r>
        <w:t xml:space="preserve">= Legora |</w:t>
      </w:r>
      <w:r>
        <w:t xml:space="preserve"> </w:t>
      </w:r>
      <w:r>
        <w:rPr>
          <w:bCs/>
          <w:b/>
        </w:rPr>
        <w:t xml:space="preserve">DJ</w:t>
      </w:r>
      <w:r>
        <w:t xml:space="preserve"> </w:t>
      </w:r>
      <w:r>
        <w:t xml:space="preserve">= DeepJudge |</w:t>
      </w:r>
      <w:r>
        <w:t xml:space="preserve"> </w:t>
      </w:r>
      <w:r>
        <w:rPr>
          <w:bCs/>
          <w:b/>
        </w:rPr>
        <w:t xml:space="preserve">CC</w:t>
      </w:r>
      <w:r>
        <w:t xml:space="preserve"> </w:t>
      </w:r>
      <w:r>
        <w:t xml:space="preserve">= CoCounsel |</w:t>
      </w:r>
      <w:r>
        <w:t xml:space="preserve"> </w:t>
      </w:r>
      <w:r>
        <w:rPr>
          <w:bCs/>
          <w:b/>
        </w:rPr>
        <w:t xml:space="preserve">K</w:t>
      </w:r>
      <w:r>
        <w:t xml:space="preserve"> </w:t>
      </w:r>
      <w:r>
        <w:t xml:space="preserve">= Kira Systems |</w:t>
      </w:r>
      <w:r>
        <w:t xml:space="preserve"> </w:t>
      </w:r>
      <w:r>
        <w:rPr>
          <w:bCs/>
          <w:b/>
        </w:rPr>
        <w:t xml:space="preserve">NC</w:t>
      </w:r>
      <w:r>
        <w:t xml:space="preserve"> </w:t>
      </w:r>
      <w:r>
        <w:t xml:space="preserve">= Newcode</w:t>
      </w:r>
    </w:p>
    <w:p>
      <w:pPr>
        <w:numPr>
          <w:ilvl w:val="0"/>
          <w:numId w:val="1008"/>
        </w:numPr>
        <w:pStyle w:val="Compact"/>
      </w:pPr>
      <w:r>
        <w:rPr>
          <w:bCs/>
          <w:b/>
        </w:rPr>
        <w:t xml:space="preserve">PROP</w:t>
      </w:r>
      <w:r>
        <w:t xml:space="preserve"> </w:t>
      </w:r>
      <w:r>
        <w:t xml:space="preserve">= Proprietary/in-house tool built |</w:t>
      </w:r>
      <w:r>
        <w:t xml:space="preserve"> </w:t>
      </w:r>
      <w:r>
        <w:rPr>
          <w:bCs/>
          <w:b/>
        </w:rPr>
        <w:t xml:space="preserve">B→B</w:t>
      </w:r>
      <w:r>
        <w:t xml:space="preserve"> </w:t>
      </w:r>
      <w:r>
        <w:t xml:space="preserve">= Built proprietary, then bought third-party (Build-Then-Buy)</w:t>
      </w:r>
    </w:p>
    <w:p>
      <w:pPr>
        <w:numPr>
          <w:ilvl w:val="0"/>
          <w:numId w:val="1008"/>
        </w:numPr>
        <w:pStyle w:val="Compact"/>
      </w:pPr>
      <w:r>
        <w:rPr>
          <w:bCs/>
          <w:b/>
        </w:rPr>
        <w:t xml:space="preserve">?</w:t>
      </w:r>
      <w:r>
        <w:t xml:space="preserve"> </w:t>
      </w:r>
      <w:r>
        <w:t xml:space="preserve">= Likely using AI tools but vendor not publicly confirmed</w:t>
      </w:r>
    </w:p>
    <w:p>
      <w:pPr>
        <w:numPr>
          <w:ilvl w:val="0"/>
          <w:numId w:val="1008"/>
        </w:numPr>
        <w:pStyle w:val="Compact"/>
      </w:pPr>
      <w:r>
        <w:rPr>
          <w:bCs/>
          <w:b/>
        </w:rPr>
        <w:t xml:space="preserve">Multiple</w:t>
      </w:r>
      <w:r>
        <w:t xml:space="preserve"> </w:t>
      </w:r>
      <w:r>
        <w:t xml:space="preserve">= Confirmed using multiple vendors</w:t>
      </w:r>
    </w:p>
    <w:p>
      <w:r>
        <w:pict>
          <v:rect style="width:0;height:1.5pt" o:hralign="center" o:hrstd="t" o:hr="t"/>
        </w:pict>
      </w:r>
    </w:p>
    <w:tbl>
      <w:tblPr>
        <w:tblStyle w:val="Table"/>
        <w:tblW w:type="pct" w:w="5000"/>
        <w:tblLook w:firstRow="1" w:lastRow="0" w:firstColumn="0" w:lastColumn="0" w:noHBand="0" w:noVBand="0" w:val="0020"/>
        <w:jc w:val="start"/>
      </w:tblPr>
      <w:tblGrid>
        <w:gridCol w:w="594"/>
        <w:gridCol w:w="594"/>
        <w:gridCol w:w="1287"/>
        <w:gridCol w:w="1485"/>
        <w:gridCol w:w="1584"/>
        <w:gridCol w:w="1683"/>
        <w:gridCol w:w="693"/>
      </w:tblGrid>
      <w:tr>
        <w:trPr>
          <w:tblHeader w:val="true"/>
        </w:trPr>
        <w:tc>
          <w:tcPr/>
          <w:p>
            <w:pPr>
              <w:pStyle w:val="Compact"/>
              <w:jc w:val="left"/>
            </w:pPr>
            <w:r>
              <w:t xml:space="preserve">Rank</w:t>
            </w:r>
          </w:p>
        </w:tc>
        <w:tc>
          <w:tcPr/>
          <w:p>
            <w:pPr>
              <w:pStyle w:val="Compact"/>
              <w:jc w:val="left"/>
            </w:pPr>
            <w:r>
              <w:t xml:space="preserve">Firm</w:t>
            </w:r>
          </w:p>
        </w:tc>
        <w:tc>
          <w:tcPr/>
          <w:p>
            <w:pPr>
              <w:pStyle w:val="Compact"/>
              <w:jc w:val="left"/>
            </w:pPr>
            <w:r>
              <w:t xml:space="preserve">2024 Revenue</w:t>
            </w:r>
          </w:p>
        </w:tc>
        <w:tc>
          <w:tcPr/>
          <w:p>
            <w:pPr>
              <w:pStyle w:val="Compact"/>
              <w:jc w:val="left"/>
            </w:pPr>
            <w:r>
              <w:t xml:space="preserve">Third-Party AI</w:t>
            </w:r>
          </w:p>
        </w:tc>
        <w:tc>
          <w:tcPr/>
          <w:p>
            <w:pPr>
              <w:pStyle w:val="Compact"/>
              <w:jc w:val="left"/>
            </w:pPr>
            <w:r>
              <w:t xml:space="preserve">Proprietary AI</w:t>
            </w:r>
          </w:p>
        </w:tc>
        <w:tc>
          <w:tcPr/>
          <w:p>
            <w:pPr>
              <w:pStyle w:val="Compact"/>
              <w:jc w:val="left"/>
            </w:pPr>
            <w:r>
              <w:t xml:space="preserve">Build-Then-Buy?</w:t>
            </w:r>
          </w:p>
        </w:tc>
        <w:tc>
          <w:tcPr/>
          <w:p>
            <w:pPr>
              <w:pStyle w:val="Compact"/>
              <w:jc w:val="left"/>
            </w:pPr>
            <w:r>
              <w:t xml:space="preserve">Notes</w:t>
            </w:r>
          </w:p>
        </w:tc>
      </w:tr>
      <w:tr>
        <w:tc>
          <w:tcPr/>
          <w:p>
            <w:pPr>
              <w:pStyle w:val="Compact"/>
              <w:jc w:val="left"/>
            </w:pPr>
            <w:r>
              <w:t xml:space="preserve">1</w:t>
            </w:r>
          </w:p>
        </w:tc>
        <w:tc>
          <w:tcPr/>
          <w:p>
            <w:pPr>
              <w:pStyle w:val="Compact"/>
              <w:jc w:val="left"/>
            </w:pPr>
            <w:r>
              <w:rPr>
                <w:bCs/>
                <w:b/>
              </w:rPr>
              <w:t xml:space="preserve">Kirkland &amp; Ellis</w:t>
            </w:r>
          </w:p>
        </w:tc>
        <w:tc>
          <w:tcPr/>
          <w:p>
            <w:pPr>
              <w:pStyle w:val="Compact"/>
              <w:jc w:val="left"/>
            </w:pPr>
            <w:r>
              <w:t xml:space="preserve">$8.8B</w:t>
            </w:r>
          </w:p>
        </w:tc>
        <w:tc>
          <w:tcPr/>
          <w:p>
            <w:pPr>
              <w:pStyle w:val="Compact"/>
              <w:jc w:val="left"/>
            </w:pPr>
            <w:r>
              <w:t xml:space="preserve">?</w:t>
            </w:r>
          </w:p>
        </w:tc>
        <w:tc>
          <w:tcPr/>
          <w:p>
            <w:pPr>
              <w:pStyle w:val="Compact"/>
              <w:jc w:val="left"/>
            </w:pPr>
            <w:r>
              <w:t xml:space="preserve">Practice-led AI integration</w:t>
            </w:r>
          </w:p>
        </w:tc>
        <w:tc>
          <w:tcPr/>
          <w:p>
            <w:pPr>
              <w:pStyle w:val="Compact"/>
              <w:jc w:val="left"/>
            </w:pPr>
            <w:r>
              <w:t xml:space="preserve">—</w:t>
            </w:r>
          </w:p>
        </w:tc>
        <w:tc>
          <w:tcPr/>
          <w:p>
            <w:pPr>
              <w:pStyle w:val="Compact"/>
              <w:jc w:val="left"/>
            </w:pPr>
            <w:r>
              <w:t xml:space="preserve">Decentralised approach; deep AI integration in M&amp;A, PE, IP litigation; no public vendor disclosure</w:t>
            </w:r>
          </w:p>
        </w:tc>
      </w:tr>
      <w:tr>
        <w:tc>
          <w:tcPr/>
          <w:p>
            <w:pPr>
              <w:pStyle w:val="Compact"/>
              <w:jc w:val="left"/>
            </w:pPr>
            <w:r>
              <w:t xml:space="preserve">2</w:t>
            </w:r>
          </w:p>
        </w:tc>
        <w:tc>
          <w:tcPr/>
          <w:p>
            <w:pPr>
              <w:pStyle w:val="Compact"/>
              <w:jc w:val="left"/>
            </w:pPr>
            <w:r>
              <w:rPr>
                <w:bCs/>
                <w:b/>
              </w:rPr>
              <w:t xml:space="preserve">Latham &amp; Watkins</w:t>
            </w:r>
          </w:p>
        </w:tc>
        <w:tc>
          <w:tcPr/>
          <w:p>
            <w:pPr>
              <w:pStyle w:val="Compact"/>
              <w:jc w:val="left"/>
            </w:pPr>
            <w:r>
              <w:t xml:space="preserve">$7.0B</w:t>
            </w:r>
          </w:p>
        </w:tc>
        <w:tc>
          <w:tcPr/>
          <w:p>
            <w:pPr>
              <w:pStyle w:val="Compact"/>
              <w:jc w:val="left"/>
            </w:pPr>
            <w:r>
              <w:t xml:space="preserve">H</w:t>
            </w:r>
          </w:p>
        </w:tc>
        <w:tc>
          <w:tcPr/>
          <w:p>
            <w:pPr>
              <w:pStyle w:val="Compact"/>
              <w:jc w:val="left"/>
            </w:pPr>
            <w:r>
              <w:t xml:space="preserve">PROP (8-K Trigger Analysis Tool)</w:t>
            </w:r>
          </w:p>
        </w:tc>
        <w:tc>
          <w:tcPr/>
          <w:p>
            <w:pPr>
              <w:pStyle w:val="Compact"/>
              <w:jc w:val="left"/>
            </w:pPr>
            <w:r>
              <w:t xml:space="preserve">—</w:t>
            </w:r>
          </w:p>
        </w:tc>
        <w:tc>
          <w:tcPr/>
          <w:p>
            <w:pPr>
              <w:pStyle w:val="Compact"/>
              <w:jc w:val="left"/>
            </w:pPr>
            <w:r>
              <w:t xml:space="preserve">Harvey adopted; proprietary tools for SEC work; AI Academy (award-winning); named Most Innovative Firm NA 2025</w:t>
            </w:r>
          </w:p>
        </w:tc>
      </w:tr>
      <w:tr>
        <w:tc>
          <w:tcPr/>
          <w:p>
            <w:pPr>
              <w:pStyle w:val="Compact"/>
              <w:jc w:val="left"/>
            </w:pPr>
            <w:r>
              <w:t xml:space="preserve">3</w:t>
            </w:r>
          </w:p>
        </w:tc>
        <w:tc>
          <w:tcPr/>
          <w:p>
            <w:pPr>
              <w:pStyle w:val="Compact"/>
              <w:jc w:val="left"/>
            </w:pPr>
            <w:r>
              <w:rPr>
                <w:bCs/>
                <w:b/>
              </w:rPr>
              <w:t xml:space="preserve">DLA Piper</w:t>
            </w:r>
          </w:p>
        </w:tc>
        <w:tc>
          <w:tcPr/>
          <w:p>
            <w:pPr>
              <w:pStyle w:val="Compact"/>
              <w:jc w:val="left"/>
            </w:pPr>
            <w:r>
              <w:t xml:space="preserve">Top 5</w:t>
            </w:r>
          </w:p>
        </w:tc>
        <w:tc>
          <w:tcPr/>
          <w:p>
            <w:pPr>
              <w:pStyle w:val="Compact"/>
              <w:jc w:val="left"/>
            </w:pPr>
            <w:r>
              <w:t xml:space="preserve">NC, K</w:t>
            </w:r>
          </w:p>
        </w:tc>
        <w:tc>
          <w:tcPr/>
          <w:p>
            <w:pPr>
              <w:pStyle w:val="Compact"/>
              <w:jc w:val="left"/>
            </w:pPr>
            <w:r>
              <w:t xml:space="preserve">—</w:t>
            </w:r>
          </w:p>
        </w:tc>
        <w:tc>
          <w:tcPr/>
          <w:p>
            <w:pPr>
              <w:pStyle w:val="Compact"/>
              <w:jc w:val="left"/>
            </w:pPr>
            <w:r>
              <w:t xml:space="preserve">—</w:t>
            </w:r>
          </w:p>
        </w:tc>
        <w:tc>
          <w:tcPr/>
          <w:p>
            <w:pPr>
              <w:pStyle w:val="Compact"/>
              <w:jc w:val="left"/>
            </w:pPr>
            <w:r>
              <w:t xml:space="preserve">Newcode (Nordics); Kira Systems for M&amp;A; firm also audits AI for corporate clients</w:t>
            </w:r>
          </w:p>
        </w:tc>
      </w:tr>
      <w:tr>
        <w:tc>
          <w:tcPr/>
          <w:p>
            <w:pPr>
              <w:pStyle w:val="Compact"/>
              <w:jc w:val="left"/>
            </w:pPr>
            <w:r>
              <w:t xml:space="preserve">4</w:t>
            </w:r>
          </w:p>
        </w:tc>
        <w:tc>
          <w:tcPr/>
          <w:p>
            <w:pPr>
              <w:pStyle w:val="Compact"/>
              <w:jc w:val="left"/>
            </w:pPr>
            <w:r>
              <w:rPr>
                <w:bCs/>
                <w:b/>
              </w:rPr>
              <w:t xml:space="preserve">Skadden, Arps</w:t>
            </w:r>
          </w:p>
        </w:tc>
        <w:tc>
          <w:tcPr/>
          <w:p>
            <w:pPr>
              <w:pStyle w:val="Compact"/>
              <w:jc w:val="left"/>
            </w:pPr>
            <w:r>
              <w:t xml:space="preserve">Top 5</w:t>
            </w:r>
          </w:p>
        </w:tc>
        <w:tc>
          <w:tcPr/>
          <w:p>
            <w:pPr>
              <w:pStyle w:val="Compact"/>
              <w:jc w:val="left"/>
            </w:pPr>
            <w:r>
              <w:t xml:space="preserve">?</w:t>
            </w:r>
          </w:p>
        </w:tc>
        <w:tc>
          <w:tcPr/>
          <w:p>
            <w:pPr>
              <w:pStyle w:val="Compact"/>
              <w:jc w:val="left"/>
            </w:pPr>
            <w:r>
              <w:t xml:space="preserve">Internal training programs</w:t>
            </w:r>
          </w:p>
        </w:tc>
        <w:tc>
          <w:tcPr/>
          <w:p>
            <w:pPr>
              <w:pStyle w:val="Compact"/>
              <w:jc w:val="left"/>
            </w:pPr>
            <w:r>
              <w:t xml:space="preserve">—</w:t>
            </w:r>
          </w:p>
        </w:tc>
        <w:tc>
          <w:tcPr/>
          <w:p>
            <w:pPr>
              <w:pStyle w:val="Compact"/>
              <w:jc w:val="left"/>
            </w:pPr>
            <w:r>
              <w:t xml:space="preserve">Internal AI training; no public vendor disclosure</w:t>
            </w:r>
          </w:p>
        </w:tc>
      </w:tr>
      <w:tr>
        <w:tc>
          <w:tcPr/>
          <w:p>
            <w:pPr>
              <w:pStyle w:val="Compact"/>
              <w:jc w:val="left"/>
            </w:pPr>
            <w:r>
              <w:t xml:space="preserve">5</w:t>
            </w:r>
          </w:p>
        </w:tc>
        <w:tc>
          <w:tcPr/>
          <w:p>
            <w:pPr>
              <w:pStyle w:val="Compact"/>
              <w:jc w:val="left"/>
            </w:pPr>
            <w:r>
              <w:rPr>
                <w:bCs/>
                <w:b/>
              </w:rPr>
              <w:t xml:space="preserve">Baker McKenzie</w:t>
            </w:r>
          </w:p>
        </w:tc>
        <w:tc>
          <w:tcPr/>
          <w:p>
            <w:pPr>
              <w:pStyle w:val="Compact"/>
              <w:jc w:val="left"/>
            </w:pPr>
            <w:r>
              <w:t xml:space="preserve">Top 5</w:t>
            </w:r>
          </w:p>
        </w:tc>
        <w:tc>
          <w:tcPr/>
          <w:p>
            <w:pPr>
              <w:pStyle w:val="Compact"/>
              <w:jc w:val="left"/>
            </w:pPr>
            <w:r>
              <w:t xml:space="preserve">?</w:t>
            </w:r>
          </w:p>
        </w:tc>
        <w:tc>
          <w:tcPr/>
          <w:p>
            <w:pPr>
              <w:pStyle w:val="Compact"/>
              <w:jc w:val="left"/>
            </w:pPr>
            <w:r>
              <w:t xml:space="preserve">PROP (BakerML unit)</w:t>
            </w:r>
          </w:p>
        </w:tc>
        <w:tc>
          <w:tcPr/>
          <w:p>
            <w:pPr>
              <w:pStyle w:val="Compact"/>
              <w:jc w:val="left"/>
            </w:pPr>
            <w:r>
              <w:t xml:space="preserve">—</w:t>
            </w:r>
          </w:p>
        </w:tc>
        <w:tc>
          <w:tcPr/>
          <w:p>
            <w:pPr>
              <w:pStyle w:val="Compact"/>
              <w:jc w:val="left"/>
            </w:pPr>
            <w:r>
              <w:t xml:space="preserve">“</w:t>
            </w:r>
            <w:r>
              <w:t xml:space="preserve">AI Creator</w:t>
            </w:r>
            <w:r>
              <w:t xml:space="preserve">”</w:t>
            </w:r>
            <w:r>
              <w:t xml:space="preserve"> </w:t>
            </w:r>
            <w:r>
              <w:t xml:space="preserve">strategy via BakerML; positioned as builder not just adopter</w:t>
            </w:r>
          </w:p>
        </w:tc>
      </w:tr>
      <w:tr>
        <w:tc>
          <w:tcPr/>
          <w:p>
            <w:pPr>
              <w:pStyle w:val="Compact"/>
              <w:jc w:val="left"/>
            </w:pPr>
            <w:r>
              <w:t xml:space="preserve">6</w:t>
            </w:r>
          </w:p>
        </w:tc>
        <w:tc>
          <w:tcPr/>
          <w:p>
            <w:pPr>
              <w:pStyle w:val="Compact"/>
              <w:jc w:val="left"/>
            </w:pPr>
            <w:r>
              <w:rPr>
                <w:bCs/>
                <w:b/>
              </w:rPr>
              <w:t xml:space="preserve">Dentons</w:t>
            </w:r>
          </w:p>
        </w:tc>
        <w:tc>
          <w:tcPr/>
          <w:p>
            <w:pPr>
              <w:pStyle w:val="Compact"/>
              <w:jc w:val="left"/>
            </w:pPr>
            <w:r>
              <w:t xml:space="preserve">Top 5 (by headcount)</w:t>
            </w:r>
          </w:p>
        </w:tc>
        <w:tc>
          <w:tcPr/>
          <w:p>
            <w:pPr>
              <w:pStyle w:val="Compact"/>
              <w:jc w:val="left"/>
            </w:pPr>
            <w:r>
              <w:t xml:space="preserve">L, H</w:t>
            </w:r>
          </w:p>
        </w:tc>
        <w:tc>
          <w:tcPr/>
          <w:p>
            <w:pPr>
              <w:pStyle w:val="Compact"/>
              <w:jc w:val="left"/>
            </w:pPr>
            <w:r>
              <w:t xml:space="preserve">PROP (FleetAI)</w:t>
            </w:r>
          </w:p>
        </w:tc>
        <w:tc>
          <w:tcPr/>
          <w:p>
            <w:pPr>
              <w:pStyle w:val="Compact"/>
              <w:jc w:val="left"/>
            </w:pPr>
            <w:r>
              <w:t xml:space="preserve">Partial B→B</w:t>
            </w:r>
          </w:p>
        </w:tc>
        <w:tc>
          <w:tcPr/>
          <w:p>
            <w:pPr>
              <w:pStyle w:val="Compact"/>
              <w:jc w:val="left"/>
            </w:pPr>
            <w:r>
              <w:t xml:space="preserve">Built FleetAI (secure GPT-4 environment); subsequently adopted Legora (Europe) and reportedly uses Harvey</w:t>
            </w:r>
          </w:p>
        </w:tc>
      </w:tr>
      <w:tr>
        <w:tc>
          <w:tcPr/>
          <w:p>
            <w:pPr>
              <w:pStyle w:val="Compact"/>
              <w:jc w:val="left"/>
            </w:pPr>
            <w:r>
              <w:t xml:space="preserve">7</w:t>
            </w:r>
          </w:p>
        </w:tc>
        <w:tc>
          <w:tcPr/>
          <w:p>
            <w:pPr>
              <w:pStyle w:val="Compact"/>
              <w:jc w:val="left"/>
            </w:pPr>
            <w:r>
              <w:rPr>
                <w:bCs/>
                <w:b/>
              </w:rPr>
              <w:t xml:space="preserve">Morgan Lewis</w:t>
            </w:r>
          </w:p>
        </w:tc>
        <w:tc>
          <w:tcPr/>
          <w:p>
            <w:pPr>
              <w:pStyle w:val="Compact"/>
              <w:jc w:val="left"/>
            </w:pPr>
            <w:r>
              <w:t xml:space="preserve">Top 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8</w:t>
            </w:r>
          </w:p>
        </w:tc>
        <w:tc>
          <w:tcPr/>
          <w:p>
            <w:pPr>
              <w:pStyle w:val="Compact"/>
              <w:jc w:val="left"/>
            </w:pPr>
            <w:r>
              <w:rPr>
                <w:bCs/>
                <w:b/>
              </w:rPr>
              <w:t xml:space="preserve">Paul, Weiss</w:t>
            </w:r>
          </w:p>
        </w:tc>
        <w:tc>
          <w:tcPr/>
          <w:p>
            <w:pPr>
              <w:pStyle w:val="Compact"/>
              <w:jc w:val="left"/>
            </w:pPr>
            <w:r>
              <w:t xml:space="preserve">Top 10</w:t>
            </w:r>
          </w:p>
        </w:tc>
        <w:tc>
          <w:tcPr/>
          <w:p>
            <w:pPr>
              <w:pStyle w:val="Compact"/>
              <w:jc w:val="left"/>
            </w:pPr>
            <w:r>
              <w:t xml:space="preserve">H</w:t>
            </w:r>
          </w:p>
        </w:tc>
        <w:tc>
          <w:tcPr/>
          <w:p>
            <w:pPr>
              <w:pStyle w:val="Compact"/>
              <w:jc w:val="left"/>
            </w:pPr>
            <w:r>
              <w:t xml:space="preserve">PROP</w:t>
            </w:r>
          </w:p>
        </w:tc>
        <w:tc>
          <w:tcPr/>
          <w:p>
            <w:pPr>
              <w:pStyle w:val="Compact"/>
              <w:jc w:val="left"/>
            </w:pPr>
            <w:r>
              <w:t xml:space="preserve">—</w:t>
            </w:r>
          </w:p>
        </w:tc>
        <w:tc>
          <w:tcPr/>
          <w:p>
            <w:pPr>
              <w:pStyle w:val="Compact"/>
              <w:jc w:val="left"/>
            </w:pPr>
            <w:r>
              <w:t xml:space="preserve">Named Harvey customer; cross-departmental AI team; 2025 Legalweek award winner; 31.6% revenue jump</w:t>
            </w:r>
          </w:p>
        </w:tc>
      </w:tr>
      <w:tr>
        <w:tc>
          <w:tcPr/>
          <w:p>
            <w:pPr>
              <w:pStyle w:val="Compact"/>
              <w:jc w:val="left"/>
            </w:pPr>
            <w:r>
              <w:t xml:space="preserve">9</w:t>
            </w:r>
          </w:p>
        </w:tc>
        <w:tc>
          <w:tcPr/>
          <w:p>
            <w:pPr>
              <w:pStyle w:val="Compact"/>
              <w:jc w:val="left"/>
            </w:pPr>
            <w:r>
              <w:rPr>
                <w:bCs/>
                <w:b/>
              </w:rPr>
              <w:t xml:space="preserve">Sidley Austin</w:t>
            </w:r>
          </w:p>
        </w:tc>
        <w:tc>
          <w:tcPr/>
          <w:p>
            <w:pPr>
              <w:pStyle w:val="Compact"/>
              <w:jc w:val="left"/>
            </w:pPr>
            <w:r>
              <w:t xml:space="preserve">Top 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Maintains AI Monitor tracking regulatory developments; no public vendor disclosure</w:t>
            </w:r>
          </w:p>
        </w:tc>
      </w:tr>
      <w:tr>
        <w:tc>
          <w:tcPr/>
          <w:p>
            <w:pPr>
              <w:pStyle w:val="Compact"/>
              <w:jc w:val="left"/>
            </w:pPr>
            <w:r>
              <w:t xml:space="preserve">10</w:t>
            </w:r>
          </w:p>
        </w:tc>
        <w:tc>
          <w:tcPr/>
          <w:p>
            <w:pPr>
              <w:pStyle w:val="Compact"/>
              <w:jc w:val="left"/>
            </w:pPr>
            <w:r>
              <w:rPr>
                <w:bCs/>
                <w:b/>
              </w:rPr>
              <w:t xml:space="preserve">Jones Day</w:t>
            </w:r>
          </w:p>
        </w:tc>
        <w:tc>
          <w:tcPr/>
          <w:p>
            <w:pPr>
              <w:pStyle w:val="Compact"/>
              <w:jc w:val="left"/>
            </w:pPr>
            <w:r>
              <w:t xml:space="preserve">Top 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135 AI/tech matters (2023-2025); no public vendor disclosure</w:t>
            </w:r>
          </w:p>
        </w:tc>
      </w:tr>
      <w:tr>
        <w:tc>
          <w:tcPr/>
          <w:p>
            <w:pPr>
              <w:pStyle w:val="Compact"/>
              <w:jc w:val="left"/>
            </w:pPr>
            <w:r>
              <w:t xml:space="preserve">11</w:t>
            </w:r>
          </w:p>
        </w:tc>
        <w:tc>
          <w:tcPr/>
          <w:p>
            <w:pPr>
              <w:pStyle w:val="Compact"/>
              <w:jc w:val="left"/>
            </w:pPr>
            <w:r>
              <w:rPr>
                <w:bCs/>
                <w:b/>
              </w:rPr>
              <w:t xml:space="preserve">Gibson, Dunn &amp; Crutcher</w:t>
            </w:r>
          </w:p>
        </w:tc>
        <w:tc>
          <w:tcPr/>
          <w:p>
            <w:pPr>
              <w:pStyle w:val="Compact"/>
              <w:jc w:val="left"/>
            </w:pPr>
            <w:r>
              <w:t xml:space="preserve">Top 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V10 firm; active in AI advisory; no public vendor disclosure</w:t>
            </w:r>
          </w:p>
        </w:tc>
      </w:tr>
      <w:tr>
        <w:tc>
          <w:tcPr/>
          <w:p>
            <w:pPr>
              <w:pStyle w:val="Compact"/>
              <w:jc w:val="left"/>
            </w:pPr>
            <w:r>
              <w:t xml:space="preserve">12</w:t>
            </w:r>
          </w:p>
        </w:tc>
        <w:tc>
          <w:tcPr/>
          <w:p>
            <w:pPr>
              <w:pStyle w:val="Compact"/>
              <w:jc w:val="left"/>
            </w:pPr>
            <w:r>
              <w:rPr>
                <w:bCs/>
                <w:b/>
              </w:rPr>
              <w:t xml:space="preserve">Simpson Thacher &amp; Bartlett</w:t>
            </w:r>
          </w:p>
        </w:tc>
        <w:tc>
          <w:tcPr/>
          <w:p>
            <w:pPr>
              <w:pStyle w:val="Compact"/>
              <w:jc w:val="left"/>
            </w:pPr>
            <w:r>
              <w:t xml:space="preserve">Top 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Elite M&amp;A firm; no public vendor disclosure</w:t>
            </w:r>
          </w:p>
        </w:tc>
      </w:tr>
      <w:tr>
        <w:tc>
          <w:tcPr/>
          <w:p>
            <w:pPr>
              <w:pStyle w:val="Compact"/>
              <w:jc w:val="left"/>
            </w:pPr>
            <w:r>
              <w:t xml:space="preserve">13</w:t>
            </w:r>
          </w:p>
        </w:tc>
        <w:tc>
          <w:tcPr/>
          <w:p>
            <w:pPr>
              <w:pStyle w:val="Compact"/>
              <w:jc w:val="left"/>
            </w:pPr>
            <w:r>
              <w:rPr>
                <w:bCs/>
                <w:b/>
              </w:rPr>
              <w:t xml:space="preserve">Weil, Gotshal &amp; Manges</w:t>
            </w:r>
          </w:p>
        </w:tc>
        <w:tc>
          <w:tcPr/>
          <w:p>
            <w:pPr>
              <w:pStyle w:val="Compact"/>
              <w:jc w:val="left"/>
            </w:pPr>
            <w:r>
              <w:t xml:space="preserve">Top 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14</w:t>
            </w:r>
          </w:p>
        </w:tc>
        <w:tc>
          <w:tcPr/>
          <w:p>
            <w:pPr>
              <w:pStyle w:val="Compact"/>
              <w:jc w:val="left"/>
            </w:pPr>
            <w:r>
              <w:rPr>
                <w:bCs/>
                <w:b/>
              </w:rPr>
              <w:t xml:space="preserve">White &amp; Case</w:t>
            </w:r>
          </w:p>
        </w:tc>
        <w:tc>
          <w:tcPr/>
          <w:p>
            <w:pPr>
              <w:pStyle w:val="Compact"/>
              <w:jc w:val="left"/>
            </w:pPr>
            <w:r>
              <w:t xml:space="preserve">Top 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Global presence; no specific AI vendor publicly confirmed</w:t>
            </w:r>
          </w:p>
        </w:tc>
      </w:tr>
      <w:tr>
        <w:tc>
          <w:tcPr/>
          <w:p>
            <w:pPr>
              <w:pStyle w:val="Compact"/>
              <w:jc w:val="left"/>
            </w:pPr>
            <w:r>
              <w:t xml:space="preserve">15</w:t>
            </w:r>
          </w:p>
        </w:tc>
        <w:tc>
          <w:tcPr/>
          <w:p>
            <w:pPr>
              <w:pStyle w:val="Compact"/>
              <w:jc w:val="left"/>
            </w:pPr>
            <w:r>
              <w:rPr>
                <w:bCs/>
                <w:b/>
              </w:rPr>
              <w:t xml:space="preserve">Davis Polk &amp; Wardwell</w:t>
            </w:r>
          </w:p>
        </w:tc>
        <w:tc>
          <w:tcPr/>
          <w:p>
            <w:pPr>
              <w:pStyle w:val="Compact"/>
              <w:jc w:val="left"/>
            </w:pPr>
            <w:r>
              <w:t xml:space="preserve">Top 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Major AI practice area; advises AI companies; no internal tool disclosure</w:t>
            </w:r>
          </w:p>
        </w:tc>
      </w:tr>
      <w:tr>
        <w:tc>
          <w:tcPr/>
          <w:p>
            <w:pPr>
              <w:pStyle w:val="Compact"/>
              <w:jc w:val="left"/>
            </w:pPr>
            <w:r>
              <w:t xml:space="preserve">16</w:t>
            </w:r>
          </w:p>
        </w:tc>
        <w:tc>
          <w:tcPr/>
          <w:p>
            <w:pPr>
              <w:pStyle w:val="Compact"/>
              <w:jc w:val="left"/>
            </w:pPr>
            <w:r>
              <w:rPr>
                <w:bCs/>
                <w:b/>
              </w:rPr>
              <w:t xml:space="preserve">Sullivan &amp; Cromwell</w:t>
            </w:r>
          </w:p>
        </w:tc>
        <w:tc>
          <w:tcPr/>
          <w:p>
            <w:pPr>
              <w:pStyle w:val="Compact"/>
              <w:jc w:val="left"/>
            </w:pPr>
            <w:r>
              <w:t xml:space="preserve">Top 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Legal advisor to xAI/Musk $100B merger; attended AI Demo Days; no public vendor disclosure</w:t>
            </w:r>
          </w:p>
        </w:tc>
      </w:tr>
      <w:tr>
        <w:tc>
          <w:tcPr/>
          <w:p>
            <w:pPr>
              <w:pStyle w:val="Compact"/>
              <w:jc w:val="left"/>
            </w:pPr>
            <w:r>
              <w:t xml:space="preserve">17</w:t>
            </w:r>
          </w:p>
        </w:tc>
        <w:tc>
          <w:tcPr/>
          <w:p>
            <w:pPr>
              <w:pStyle w:val="Compact"/>
              <w:jc w:val="left"/>
            </w:pPr>
            <w:r>
              <w:rPr>
                <w:bCs/>
                <w:b/>
              </w:rPr>
              <w:t xml:space="preserve">Hogan Lovells</w:t>
            </w:r>
          </w:p>
        </w:tc>
        <w:tc>
          <w:tcPr/>
          <w:p>
            <w:pPr>
              <w:pStyle w:val="Compact"/>
              <w:jc w:val="left"/>
            </w:pPr>
            <w:r>
              <w:t xml:space="preserve">Top 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Merged with Cadwalader (2025); growing AI investigations practice; no public vendor disclosure</w:t>
            </w:r>
          </w:p>
        </w:tc>
      </w:tr>
      <w:tr>
        <w:tc>
          <w:tcPr/>
          <w:p>
            <w:pPr>
              <w:pStyle w:val="Compact"/>
              <w:jc w:val="left"/>
            </w:pPr>
            <w:r>
              <w:t xml:space="preserve">18</w:t>
            </w:r>
          </w:p>
        </w:tc>
        <w:tc>
          <w:tcPr/>
          <w:p>
            <w:pPr>
              <w:pStyle w:val="Compact"/>
              <w:jc w:val="left"/>
            </w:pPr>
            <w:r>
              <w:rPr>
                <w:bCs/>
                <w:b/>
              </w:rPr>
              <w:t xml:space="preserve">Cleary Gottlieb</w:t>
            </w:r>
          </w:p>
        </w:tc>
        <w:tc>
          <w:tcPr/>
          <w:p>
            <w:pPr>
              <w:pStyle w:val="Compact"/>
              <w:jc w:val="left"/>
            </w:pPr>
            <w:r>
              <w:t xml:space="preserve">Top 20</w:t>
            </w:r>
          </w:p>
        </w:tc>
        <w:tc>
          <w:tcPr/>
          <w:p>
            <w:pPr>
              <w:pStyle w:val="Compact"/>
              <w:jc w:val="left"/>
            </w:pPr>
            <w:r>
              <w:t xml:space="preserve">L</w:t>
            </w:r>
          </w:p>
        </w:tc>
        <w:tc>
          <w:tcPr/>
          <w:p>
            <w:pPr>
              <w:pStyle w:val="Compact"/>
              <w:jc w:val="left"/>
            </w:pPr>
            <w:r>
              <w:t xml:space="preserve">—</w:t>
            </w:r>
          </w:p>
        </w:tc>
        <w:tc>
          <w:tcPr/>
          <w:p>
            <w:pPr>
              <w:pStyle w:val="Compact"/>
              <w:jc w:val="left"/>
            </w:pPr>
            <w:r>
              <w:t xml:space="preserve">—</w:t>
            </w:r>
          </w:p>
        </w:tc>
        <w:tc>
          <w:tcPr/>
          <w:p>
            <w:pPr>
              <w:pStyle w:val="Compact"/>
              <w:jc w:val="left"/>
            </w:pPr>
            <w:r>
              <w:t xml:space="preserve">Legora Portal design partner; 132 AI/tech matters</w:t>
            </w:r>
          </w:p>
        </w:tc>
      </w:tr>
      <w:tr>
        <w:tc>
          <w:tcPr/>
          <w:p>
            <w:pPr>
              <w:pStyle w:val="Compact"/>
              <w:jc w:val="left"/>
            </w:pPr>
            <w:r>
              <w:t xml:space="preserve">19</w:t>
            </w:r>
          </w:p>
        </w:tc>
        <w:tc>
          <w:tcPr/>
          <w:p>
            <w:pPr>
              <w:pStyle w:val="Compact"/>
              <w:jc w:val="left"/>
            </w:pPr>
            <w:r>
              <w:rPr>
                <w:bCs/>
                <w:b/>
              </w:rPr>
              <w:t xml:space="preserve">Wachtell, Lipton</w:t>
            </w:r>
          </w:p>
        </w:tc>
        <w:tc>
          <w:tcPr/>
          <w:p>
            <w:pPr>
              <w:pStyle w:val="Compact"/>
              <w:jc w:val="left"/>
            </w:pPr>
            <w:r>
              <w:t xml:space="preserve">Top 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Highest RPL ($4.47M) and profit margin (78%); advised OpenAI on $40B SoftBank deal; no public vendor disclosure</w:t>
            </w:r>
          </w:p>
        </w:tc>
      </w:tr>
      <w:tr>
        <w:tc>
          <w:tcPr/>
          <w:p>
            <w:pPr>
              <w:pStyle w:val="Compact"/>
              <w:jc w:val="left"/>
            </w:pPr>
            <w:r>
              <w:t xml:space="preserve">20</w:t>
            </w:r>
          </w:p>
        </w:tc>
        <w:tc>
          <w:tcPr/>
          <w:p>
            <w:pPr>
              <w:pStyle w:val="Compact"/>
              <w:jc w:val="left"/>
            </w:pPr>
            <w:r>
              <w:rPr>
                <w:bCs/>
                <w:b/>
              </w:rPr>
              <w:t xml:space="preserve">Covington &amp; Burling</w:t>
            </w:r>
          </w:p>
        </w:tc>
        <w:tc>
          <w:tcPr/>
          <w:p>
            <w:pPr>
              <w:pStyle w:val="Compact"/>
              <w:jc w:val="left"/>
            </w:pPr>
            <w:r>
              <w:t xml:space="preserve">Top 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Strong tech regulatory practice; no specific AI tool disclosure</w:t>
            </w:r>
          </w:p>
        </w:tc>
      </w:tr>
      <w:tr>
        <w:tc>
          <w:tcPr/>
          <w:p>
            <w:pPr>
              <w:pStyle w:val="Compact"/>
              <w:jc w:val="left"/>
            </w:pPr>
            <w:r>
              <w:t xml:space="preserve">21</w:t>
            </w:r>
          </w:p>
        </w:tc>
        <w:tc>
          <w:tcPr/>
          <w:p>
            <w:pPr>
              <w:pStyle w:val="Compact"/>
              <w:jc w:val="left"/>
            </w:pPr>
            <w:r>
              <w:rPr>
                <w:bCs/>
                <w:b/>
              </w:rPr>
              <w:t xml:space="preserve">King &amp; Spalding</w:t>
            </w:r>
          </w:p>
        </w:tc>
        <w:tc>
          <w:tcPr/>
          <w:p>
            <w:pPr>
              <w:pStyle w:val="Compact"/>
              <w:jc w:val="left"/>
            </w:pPr>
            <w:r>
              <w:t xml:space="preserve">~$2.5B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Am Law</w:t>
            </w:r>
            <w:r>
              <w:t xml:space="preserve"> </w:t>
            </w:r>
            <w:r>
              <w:t xml:space="preserve">“</w:t>
            </w:r>
            <w:r>
              <w:t xml:space="preserve">Power Ranking</w:t>
            </w:r>
            <w:r>
              <w:t xml:space="preserve">”</w:t>
            </w:r>
            <w:r>
              <w:t xml:space="preserve"> </w:t>
            </w:r>
            <w:r>
              <w:t xml:space="preserve">firm; no specific disclosure</w:t>
            </w:r>
          </w:p>
        </w:tc>
      </w:tr>
      <w:tr>
        <w:tc>
          <w:tcPr/>
          <w:p>
            <w:pPr>
              <w:pStyle w:val="Compact"/>
              <w:jc w:val="left"/>
            </w:pPr>
            <w:r>
              <w:t xml:space="preserve">22</w:t>
            </w:r>
          </w:p>
        </w:tc>
        <w:tc>
          <w:tcPr/>
          <w:p>
            <w:pPr>
              <w:pStyle w:val="Compact"/>
              <w:jc w:val="left"/>
            </w:pPr>
            <w:r>
              <w:rPr>
                <w:bCs/>
                <w:b/>
              </w:rPr>
              <w:t xml:space="preserve">Ropes &amp; Gray</w:t>
            </w:r>
          </w:p>
        </w:tc>
        <w:tc>
          <w:tcPr/>
          <w:p>
            <w:pPr>
              <w:pStyle w:val="Compact"/>
              <w:jc w:val="left"/>
            </w:pPr>
            <w:r>
              <w:t xml:space="preserve">Top 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400 hours billable credit for AI training for first-year associates; regulatory tracker tool</w:t>
            </w:r>
          </w:p>
        </w:tc>
      </w:tr>
      <w:tr>
        <w:tc>
          <w:tcPr/>
          <w:p>
            <w:pPr>
              <w:pStyle w:val="Compact"/>
              <w:jc w:val="left"/>
            </w:pPr>
            <w:r>
              <w:t xml:space="preserve">23</w:t>
            </w:r>
          </w:p>
        </w:tc>
        <w:tc>
          <w:tcPr/>
          <w:p>
            <w:pPr>
              <w:pStyle w:val="Compact"/>
              <w:jc w:val="left"/>
            </w:pPr>
            <w:r>
              <w:rPr>
                <w:bCs/>
                <w:b/>
              </w:rPr>
              <w:t xml:space="preserve">Quinn Emanuel</w:t>
            </w:r>
          </w:p>
        </w:tc>
        <w:tc>
          <w:tcPr/>
          <w:p>
            <w:pPr>
              <w:pStyle w:val="Compact"/>
              <w:jc w:val="left"/>
            </w:pPr>
            <w:r>
              <w:t xml:space="preserve">Top 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35 patent litigation matters for Alphabet; leading AI litigation practice</w:t>
            </w:r>
          </w:p>
        </w:tc>
      </w:tr>
      <w:tr>
        <w:tc>
          <w:tcPr/>
          <w:p>
            <w:pPr>
              <w:pStyle w:val="Compact"/>
              <w:jc w:val="left"/>
            </w:pPr>
            <w:r>
              <w:t xml:space="preserve">24</w:t>
            </w:r>
          </w:p>
        </w:tc>
        <w:tc>
          <w:tcPr/>
          <w:p>
            <w:pPr>
              <w:pStyle w:val="Compact"/>
              <w:jc w:val="left"/>
            </w:pPr>
            <w:r>
              <w:rPr>
                <w:bCs/>
                <w:b/>
              </w:rPr>
              <w:t xml:space="preserve">Goodwin Procter</w:t>
            </w:r>
          </w:p>
        </w:tc>
        <w:tc>
          <w:tcPr/>
          <w:p>
            <w:pPr>
              <w:pStyle w:val="Compact"/>
              <w:jc w:val="left"/>
            </w:pPr>
            <w:r>
              <w:t xml:space="preserve">Top 25</w:t>
            </w:r>
          </w:p>
        </w:tc>
        <w:tc>
          <w:tcPr/>
          <w:p>
            <w:pPr>
              <w:pStyle w:val="Compact"/>
              <w:jc w:val="left"/>
            </w:pPr>
            <w:r>
              <w:t xml:space="preserve">L, K</w:t>
            </w:r>
          </w:p>
        </w:tc>
        <w:tc>
          <w:tcPr/>
          <w:p>
            <w:pPr>
              <w:pStyle w:val="Compact"/>
              <w:jc w:val="left"/>
            </w:pPr>
            <w:r>
              <w:t xml:space="preserve">—</w:t>
            </w:r>
          </w:p>
        </w:tc>
        <w:tc>
          <w:tcPr/>
          <w:p>
            <w:pPr>
              <w:pStyle w:val="Compact"/>
              <w:jc w:val="left"/>
            </w:pPr>
            <w:r>
              <w:t xml:space="preserve">—</w:t>
            </w:r>
          </w:p>
        </w:tc>
        <w:tc>
          <w:tcPr/>
          <w:p>
            <w:pPr>
              <w:pStyle w:val="Compact"/>
              <w:jc w:val="left"/>
            </w:pPr>
            <w:r>
              <w:t xml:space="preserve">Legora partner (leading US expansion); Kira Systems user since 2019; Legora Portal design partner</w:t>
            </w:r>
          </w:p>
        </w:tc>
      </w:tr>
      <w:tr>
        <w:tc>
          <w:tcPr/>
          <w:p>
            <w:pPr>
              <w:pStyle w:val="Compact"/>
              <w:jc w:val="left"/>
            </w:pPr>
            <w:r>
              <w:t xml:space="preserve">25</w:t>
            </w:r>
          </w:p>
        </w:tc>
        <w:tc>
          <w:tcPr/>
          <w:p>
            <w:pPr>
              <w:pStyle w:val="Compact"/>
              <w:jc w:val="left"/>
            </w:pPr>
            <w:r>
              <w:rPr>
                <w:bCs/>
                <w:b/>
              </w:rPr>
              <w:t xml:space="preserve">Morrison &amp; Foerster</w:t>
            </w:r>
          </w:p>
        </w:tc>
        <w:tc>
          <w:tcPr/>
          <w:p>
            <w:pPr>
              <w:pStyle w:val="Compact"/>
              <w:jc w:val="left"/>
            </w:pPr>
            <w:r>
              <w:t xml:space="preserve">Top 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Represented SoftBank in OpenAI deal; no internal tool disclosure</w:t>
            </w:r>
          </w:p>
        </w:tc>
      </w:tr>
      <w:tr>
        <w:tc>
          <w:tcPr/>
          <w:p>
            <w:pPr>
              <w:pStyle w:val="Compact"/>
              <w:jc w:val="left"/>
            </w:pPr>
            <w:r>
              <w:t xml:space="preserve">26</w:t>
            </w:r>
          </w:p>
        </w:tc>
        <w:tc>
          <w:tcPr/>
          <w:p>
            <w:pPr>
              <w:pStyle w:val="Compact"/>
              <w:jc w:val="left"/>
            </w:pPr>
            <w:r>
              <w:rPr>
                <w:bCs/>
                <w:b/>
              </w:rPr>
              <w:t xml:space="preserve">Cravath, Swaine &amp; Moore</w:t>
            </w:r>
          </w:p>
        </w:tc>
        <w:tc>
          <w:tcPr/>
          <w:p>
            <w:pPr>
              <w:pStyle w:val="Compact"/>
              <w:jc w:val="left"/>
            </w:pPr>
            <w:r>
              <w:t xml:space="preserve">Top 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 prestige ranking (10 years running); no public AI vendor disclosure</w:t>
            </w:r>
          </w:p>
        </w:tc>
      </w:tr>
      <w:tr>
        <w:tc>
          <w:tcPr/>
          <w:p>
            <w:pPr>
              <w:pStyle w:val="Compact"/>
              <w:jc w:val="left"/>
            </w:pPr>
            <w:r>
              <w:t xml:space="preserve">27</w:t>
            </w:r>
          </w:p>
        </w:tc>
        <w:tc>
          <w:tcPr/>
          <w:p>
            <w:pPr>
              <w:pStyle w:val="Compact"/>
              <w:jc w:val="left"/>
            </w:pPr>
            <w:r>
              <w:rPr>
                <w:bCs/>
                <w:b/>
              </w:rPr>
              <w:t xml:space="preserve">Debevoise &amp; Plimpton</w:t>
            </w:r>
          </w:p>
        </w:tc>
        <w:tc>
          <w:tcPr/>
          <w:p>
            <w:pPr>
              <w:pStyle w:val="Compact"/>
              <w:jc w:val="left"/>
            </w:pPr>
            <w:r>
              <w:t xml:space="preserve">Top 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28</w:t>
            </w:r>
          </w:p>
        </w:tc>
        <w:tc>
          <w:tcPr/>
          <w:p>
            <w:pPr>
              <w:pStyle w:val="Compact"/>
              <w:jc w:val="left"/>
            </w:pPr>
            <w:r>
              <w:rPr>
                <w:bCs/>
                <w:b/>
              </w:rPr>
              <w:t xml:space="preserve">Willkie Farr &amp; Gallagher</w:t>
            </w:r>
          </w:p>
        </w:tc>
        <w:tc>
          <w:tcPr/>
          <w:p>
            <w:pPr>
              <w:pStyle w:val="Compact"/>
              <w:jc w:val="left"/>
            </w:pPr>
            <w:r>
              <w:t xml:space="preserve">Top 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29</w:t>
            </w:r>
          </w:p>
        </w:tc>
        <w:tc>
          <w:tcPr/>
          <w:p>
            <w:pPr>
              <w:pStyle w:val="Compact"/>
              <w:jc w:val="left"/>
            </w:pPr>
            <w:r>
              <w:rPr>
                <w:bCs/>
                <w:b/>
              </w:rPr>
              <w:t xml:space="preserve">O’Melveny &amp; Myers</w:t>
            </w:r>
          </w:p>
        </w:tc>
        <w:tc>
          <w:tcPr/>
          <w:p>
            <w:pPr>
              <w:pStyle w:val="Compact"/>
              <w:jc w:val="left"/>
            </w:pPr>
            <w:r>
              <w:t xml:space="preserve">Top 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Recognised in 2025 Am Law 100</w:t>
            </w:r>
          </w:p>
        </w:tc>
      </w:tr>
      <w:tr>
        <w:tc>
          <w:tcPr/>
          <w:p>
            <w:pPr>
              <w:pStyle w:val="Compact"/>
              <w:jc w:val="left"/>
            </w:pPr>
            <w:r>
              <w:t xml:space="preserve">30</w:t>
            </w:r>
          </w:p>
        </w:tc>
        <w:tc>
          <w:tcPr/>
          <w:p>
            <w:pPr>
              <w:pStyle w:val="Compact"/>
              <w:jc w:val="left"/>
            </w:pPr>
            <w:r>
              <w:rPr>
                <w:bCs/>
                <w:b/>
              </w:rPr>
              <w:t xml:space="preserve">Milbank</w:t>
            </w:r>
          </w:p>
        </w:tc>
        <w:tc>
          <w:tcPr/>
          <w:p>
            <w:pPr>
              <w:pStyle w:val="Compact"/>
              <w:jc w:val="left"/>
            </w:pPr>
            <w:r>
              <w:t xml:space="preserve">Top 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31</w:t>
            </w:r>
          </w:p>
        </w:tc>
        <w:tc>
          <w:tcPr/>
          <w:p>
            <w:pPr>
              <w:pStyle w:val="Compact"/>
              <w:jc w:val="left"/>
            </w:pPr>
            <w:r>
              <w:rPr>
                <w:bCs/>
                <w:b/>
              </w:rPr>
              <w:t xml:space="preserve">Proskauer Rose</w:t>
            </w:r>
          </w:p>
        </w:tc>
        <w:tc>
          <w:tcPr/>
          <w:p>
            <w:pPr>
              <w:pStyle w:val="Compact"/>
              <w:jc w:val="left"/>
            </w:pPr>
            <w:r>
              <w:t xml:space="preserve">Top 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32</w:t>
            </w:r>
          </w:p>
        </w:tc>
        <w:tc>
          <w:tcPr/>
          <w:p>
            <w:pPr>
              <w:pStyle w:val="Compact"/>
              <w:jc w:val="left"/>
            </w:pPr>
            <w:r>
              <w:rPr>
                <w:bCs/>
                <w:b/>
              </w:rPr>
              <w:t xml:space="preserve">Norton Rose Fulbright</w:t>
            </w:r>
          </w:p>
        </w:tc>
        <w:tc>
          <w:tcPr/>
          <w:p>
            <w:pPr>
              <w:pStyle w:val="Compact"/>
              <w:jc w:val="left"/>
            </w:pPr>
            <w:r>
              <w:t xml:space="preserve">Top 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Global firm; no specific AI vendor publicly confirmed</w:t>
            </w:r>
          </w:p>
        </w:tc>
      </w:tr>
      <w:tr>
        <w:tc>
          <w:tcPr/>
          <w:p>
            <w:pPr>
              <w:pStyle w:val="Compact"/>
              <w:jc w:val="left"/>
            </w:pPr>
            <w:r>
              <w:t xml:space="preserve">33</w:t>
            </w:r>
          </w:p>
        </w:tc>
        <w:tc>
          <w:tcPr/>
          <w:p>
            <w:pPr>
              <w:pStyle w:val="Compact"/>
              <w:jc w:val="left"/>
            </w:pPr>
            <w:r>
              <w:rPr>
                <w:bCs/>
                <w:b/>
              </w:rPr>
              <w:t xml:space="preserve">McDermott Will &amp; Emery</w:t>
            </w:r>
          </w:p>
        </w:tc>
        <w:tc>
          <w:tcPr/>
          <w:p>
            <w:pPr>
              <w:pStyle w:val="Compact"/>
              <w:jc w:val="left"/>
            </w:pPr>
            <w:r>
              <w:t xml:space="preserve">Top 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34</w:t>
            </w:r>
          </w:p>
        </w:tc>
        <w:tc>
          <w:tcPr/>
          <w:p>
            <w:pPr>
              <w:pStyle w:val="Compact"/>
              <w:jc w:val="left"/>
            </w:pPr>
            <w:r>
              <w:rPr>
                <w:bCs/>
                <w:b/>
              </w:rPr>
              <w:t xml:space="preserve">Mayer Brown</w:t>
            </w:r>
          </w:p>
        </w:tc>
        <w:tc>
          <w:tcPr/>
          <w:p>
            <w:pPr>
              <w:pStyle w:val="Compact"/>
              <w:jc w:val="left"/>
            </w:pPr>
            <w:r>
              <w:t xml:space="preserve">Top 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35</w:t>
            </w:r>
          </w:p>
        </w:tc>
        <w:tc>
          <w:tcPr/>
          <w:p>
            <w:pPr>
              <w:pStyle w:val="Compact"/>
              <w:jc w:val="left"/>
            </w:pPr>
            <w:r>
              <w:rPr>
                <w:bCs/>
                <w:b/>
              </w:rPr>
              <w:t xml:space="preserve">Winston &amp; Strawn</w:t>
            </w:r>
          </w:p>
        </w:tc>
        <w:tc>
          <w:tcPr/>
          <w:p>
            <w:pPr>
              <w:pStyle w:val="Compact"/>
              <w:jc w:val="left"/>
            </w:pPr>
            <w:r>
              <w:t xml:space="preserve">Top 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 volume of AI/tech matters; merged with Taylor (2025)</w:t>
            </w:r>
          </w:p>
        </w:tc>
      </w:tr>
      <w:tr>
        <w:tc>
          <w:tcPr/>
          <w:p>
            <w:pPr>
              <w:pStyle w:val="Compact"/>
              <w:jc w:val="left"/>
            </w:pPr>
            <w:r>
              <w:t xml:space="preserve">36</w:t>
            </w:r>
          </w:p>
        </w:tc>
        <w:tc>
          <w:tcPr/>
          <w:p>
            <w:pPr>
              <w:pStyle w:val="Compact"/>
              <w:jc w:val="left"/>
            </w:pPr>
            <w:r>
              <w:rPr>
                <w:bCs/>
                <w:b/>
              </w:rPr>
              <w:t xml:space="preserve">Akin Gump</w:t>
            </w:r>
          </w:p>
        </w:tc>
        <w:tc>
          <w:tcPr/>
          <w:p>
            <w:pPr>
              <w:pStyle w:val="Compact"/>
              <w:jc w:val="left"/>
            </w:pPr>
            <w:r>
              <w:t xml:space="preserve">Top 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37</w:t>
            </w:r>
          </w:p>
        </w:tc>
        <w:tc>
          <w:tcPr/>
          <w:p>
            <w:pPr>
              <w:pStyle w:val="Compact"/>
              <w:jc w:val="left"/>
            </w:pPr>
            <w:r>
              <w:rPr>
                <w:bCs/>
                <w:b/>
              </w:rPr>
              <w:t xml:space="preserve">Dechert</w:t>
            </w:r>
          </w:p>
        </w:tc>
        <w:tc>
          <w:tcPr/>
          <w:p>
            <w:pPr>
              <w:pStyle w:val="Compact"/>
              <w:jc w:val="left"/>
            </w:pPr>
            <w:r>
              <w:t xml:space="preserve">Top 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Biggest RPL jump (28.1%) in 2024; no vendor disclosure</w:t>
            </w:r>
          </w:p>
        </w:tc>
      </w:tr>
      <w:tr>
        <w:tc>
          <w:tcPr/>
          <w:p>
            <w:pPr>
              <w:pStyle w:val="Compact"/>
              <w:jc w:val="left"/>
            </w:pPr>
            <w:r>
              <w:t xml:space="preserve">38</w:t>
            </w:r>
          </w:p>
        </w:tc>
        <w:tc>
          <w:tcPr/>
          <w:p>
            <w:pPr>
              <w:pStyle w:val="Compact"/>
              <w:jc w:val="left"/>
            </w:pPr>
            <w:r>
              <w:rPr>
                <w:bCs/>
                <w:b/>
              </w:rPr>
              <w:t xml:space="preserve">Reed Smith</w:t>
            </w:r>
          </w:p>
        </w:tc>
        <w:tc>
          <w:tcPr/>
          <w:p>
            <w:pPr>
              <w:pStyle w:val="Compact"/>
              <w:jc w:val="left"/>
            </w:pPr>
            <w:r>
              <w:t xml:space="preserve">Top 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39</w:t>
            </w:r>
          </w:p>
        </w:tc>
        <w:tc>
          <w:tcPr/>
          <w:p>
            <w:pPr>
              <w:pStyle w:val="Compact"/>
              <w:jc w:val="left"/>
            </w:pPr>
            <w:r>
              <w:rPr>
                <w:bCs/>
                <w:b/>
              </w:rPr>
              <w:t xml:space="preserve">Perkins Coie</w:t>
            </w:r>
          </w:p>
        </w:tc>
        <w:tc>
          <w:tcPr/>
          <w:p>
            <w:pPr>
              <w:pStyle w:val="Compact"/>
              <w:jc w:val="left"/>
            </w:pPr>
            <w:r>
              <w:t xml:space="preserve">Top 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Merged with Ashurst (2025);</w:t>
            </w:r>
            <w:r>
              <w:t xml:space="preserve"> </w:t>
            </w:r>
            <w:r>
              <w:t xml:space="preserve">“</w:t>
            </w:r>
            <w:r>
              <w:t xml:space="preserve">significant</w:t>
            </w:r>
            <w:r>
              <w:t xml:space="preserve">”</w:t>
            </w:r>
            <w:r>
              <w:t xml:space="preserve"> </w:t>
            </w:r>
            <w:r>
              <w:t xml:space="preserve">AI demand growth; advises on AI compliance</w:t>
            </w:r>
          </w:p>
        </w:tc>
      </w:tr>
      <w:tr>
        <w:tc>
          <w:tcPr/>
          <w:p>
            <w:pPr>
              <w:pStyle w:val="Compact"/>
              <w:jc w:val="left"/>
            </w:pPr>
            <w:r>
              <w:t xml:space="preserve">40</w:t>
            </w:r>
          </w:p>
        </w:tc>
        <w:tc>
          <w:tcPr/>
          <w:p>
            <w:pPr>
              <w:pStyle w:val="Compact"/>
              <w:jc w:val="left"/>
            </w:pPr>
            <w:r>
              <w:rPr>
                <w:bCs/>
                <w:b/>
              </w:rPr>
              <w:t xml:space="preserve">Cooley</w:t>
            </w:r>
          </w:p>
        </w:tc>
        <w:tc>
          <w:tcPr/>
          <w:p>
            <w:pPr>
              <w:pStyle w:val="Compact"/>
              <w:jc w:val="left"/>
            </w:pPr>
            <w:r>
              <w:t xml:space="preserve">Top 40</w:t>
            </w:r>
          </w:p>
        </w:tc>
        <w:tc>
          <w:tcPr/>
          <w:p>
            <w:pPr>
              <w:pStyle w:val="Compact"/>
              <w:jc w:val="left"/>
            </w:pPr>
            <w:r>
              <w:t xml:space="preserve">?</w:t>
            </w:r>
          </w:p>
        </w:tc>
        <w:tc>
          <w:tcPr/>
          <w:p>
            <w:pPr>
              <w:pStyle w:val="Compact"/>
              <w:jc w:val="left"/>
            </w:pPr>
            <w:r>
              <w:t xml:space="preserve">PROP (Vanilla; innovation manifesto)</w:t>
            </w:r>
          </w:p>
        </w:tc>
        <w:tc>
          <w:tcPr/>
          <w:p>
            <w:pPr>
              <w:pStyle w:val="Compact"/>
              <w:jc w:val="left"/>
            </w:pPr>
            <w:r>
              <w:t xml:space="preserve">—</w:t>
            </w:r>
          </w:p>
        </w:tc>
        <w:tc>
          <w:tcPr/>
          <w:p>
            <w:pPr>
              <w:pStyle w:val="Compact"/>
              <w:jc w:val="left"/>
            </w:pPr>
            <w:r>
              <w:t xml:space="preserve">Built proprietary</w:t>
            </w:r>
            <w:r>
              <w:t xml:space="preserve"> </w:t>
            </w:r>
            <w:r>
              <w:t xml:space="preserve">“</w:t>
            </w:r>
            <w:r>
              <w:t xml:space="preserve">Vanilla</w:t>
            </w:r>
            <w:r>
              <w:t xml:space="preserve">”</w:t>
            </w:r>
            <w:r>
              <w:t xml:space="preserve"> </w:t>
            </w:r>
            <w:r>
              <w:t xml:space="preserve">platform; AI Principles published; Chief Innovation Officer David Wang; 3,000 daily AI prompts</w:t>
            </w:r>
          </w:p>
        </w:tc>
      </w:tr>
      <w:tr>
        <w:tc>
          <w:tcPr/>
          <w:p>
            <w:pPr>
              <w:pStyle w:val="Compact"/>
              <w:jc w:val="left"/>
            </w:pPr>
            <w:r>
              <w:t xml:space="preserve">41</w:t>
            </w:r>
          </w:p>
        </w:tc>
        <w:tc>
          <w:tcPr/>
          <w:p>
            <w:pPr>
              <w:pStyle w:val="Compact"/>
              <w:jc w:val="left"/>
            </w:pPr>
            <w:r>
              <w:rPr>
                <w:bCs/>
                <w:b/>
              </w:rPr>
              <w:t xml:space="preserve">Fenwick &amp; West</w:t>
            </w:r>
          </w:p>
        </w:tc>
        <w:tc>
          <w:tcPr/>
          <w:p>
            <w:pPr>
              <w:pStyle w:val="Compact"/>
              <w:jc w:val="left"/>
            </w:pPr>
            <w:r>
              <w:t xml:space="preserve">Top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Top firm for AI boom deal work (by volume)</w:t>
            </w:r>
          </w:p>
        </w:tc>
      </w:tr>
      <w:tr>
        <w:tc>
          <w:tcPr/>
          <w:p>
            <w:pPr>
              <w:pStyle w:val="Compact"/>
              <w:jc w:val="left"/>
            </w:pPr>
            <w:r>
              <w:t xml:space="preserve">42</w:t>
            </w:r>
          </w:p>
        </w:tc>
        <w:tc>
          <w:tcPr/>
          <w:p>
            <w:pPr>
              <w:pStyle w:val="Compact"/>
              <w:jc w:val="left"/>
            </w:pPr>
            <w:r>
              <w:rPr>
                <w:bCs/>
                <w:b/>
              </w:rPr>
              <w:t xml:space="preserve">Wilson Sonsini</w:t>
            </w:r>
          </w:p>
        </w:tc>
        <w:tc>
          <w:tcPr/>
          <w:p>
            <w:pPr>
              <w:pStyle w:val="Compact"/>
              <w:jc w:val="left"/>
            </w:pPr>
            <w:r>
              <w:t xml:space="preserve">Top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 volume AI/tech matters; Silicon Valley focus</w:t>
            </w:r>
          </w:p>
        </w:tc>
      </w:tr>
      <w:tr>
        <w:tc>
          <w:tcPr/>
          <w:p>
            <w:pPr>
              <w:pStyle w:val="Compact"/>
              <w:jc w:val="left"/>
            </w:pPr>
            <w:r>
              <w:t xml:space="preserve">43</w:t>
            </w:r>
          </w:p>
        </w:tc>
        <w:tc>
          <w:tcPr/>
          <w:p>
            <w:pPr>
              <w:pStyle w:val="Compact"/>
              <w:jc w:val="left"/>
            </w:pPr>
            <w:r>
              <w:rPr>
                <w:bCs/>
                <w:b/>
              </w:rPr>
              <w:t xml:space="preserve">Orrick</w:t>
            </w:r>
          </w:p>
        </w:tc>
        <w:tc>
          <w:tcPr/>
          <w:p>
            <w:pPr>
              <w:pStyle w:val="Compact"/>
              <w:jc w:val="left"/>
            </w:pPr>
            <w:r>
              <w:t xml:space="preserve">Top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44</w:t>
            </w:r>
          </w:p>
        </w:tc>
        <w:tc>
          <w:tcPr/>
          <w:p>
            <w:pPr>
              <w:pStyle w:val="Compact"/>
              <w:jc w:val="left"/>
            </w:pPr>
            <w:r>
              <w:rPr>
                <w:bCs/>
                <w:b/>
              </w:rPr>
              <w:t xml:space="preserve">Holland &amp; Knight</w:t>
            </w:r>
          </w:p>
        </w:tc>
        <w:tc>
          <w:tcPr/>
          <w:p>
            <w:pPr>
              <w:pStyle w:val="Compact"/>
              <w:jc w:val="left"/>
            </w:pPr>
            <w:r>
              <w:t xml:space="preserve">Top 50</w:t>
            </w:r>
          </w:p>
        </w:tc>
        <w:tc>
          <w:tcPr/>
          <w:p>
            <w:pPr>
              <w:pStyle w:val="Compact"/>
              <w:jc w:val="left"/>
            </w:pPr>
            <w:r>
              <w:t xml:space="preserve">DJ</w:t>
            </w:r>
          </w:p>
        </w:tc>
        <w:tc>
          <w:tcPr/>
          <w:p>
            <w:pPr>
              <w:pStyle w:val="Compact"/>
              <w:jc w:val="left"/>
            </w:pPr>
            <w:r>
              <w:t xml:space="preserve">—</w:t>
            </w:r>
          </w:p>
        </w:tc>
        <w:tc>
          <w:tcPr/>
          <w:p>
            <w:pPr>
              <w:pStyle w:val="Compact"/>
              <w:jc w:val="left"/>
            </w:pPr>
            <w:r>
              <w:t xml:space="preserve">—</w:t>
            </w:r>
          </w:p>
        </w:tc>
        <w:tc>
          <w:tcPr/>
          <w:p>
            <w:pPr>
              <w:pStyle w:val="Compact"/>
              <w:jc w:val="left"/>
            </w:pPr>
            <w:r>
              <w:t xml:space="preserve">DeepJudge customer (2,200+ lawyers, 34 offices)</w:t>
            </w:r>
          </w:p>
        </w:tc>
      </w:tr>
      <w:tr>
        <w:tc>
          <w:tcPr/>
          <w:p>
            <w:pPr>
              <w:pStyle w:val="Compact"/>
              <w:jc w:val="left"/>
            </w:pPr>
            <w:r>
              <w:t xml:space="preserve">45</w:t>
            </w:r>
          </w:p>
        </w:tc>
        <w:tc>
          <w:tcPr/>
          <w:p>
            <w:pPr>
              <w:pStyle w:val="Compact"/>
              <w:jc w:val="left"/>
            </w:pPr>
            <w:r>
              <w:rPr>
                <w:bCs/>
                <w:b/>
              </w:rPr>
              <w:t xml:space="preserve">Squire Patton Boggs</w:t>
            </w:r>
          </w:p>
        </w:tc>
        <w:tc>
          <w:tcPr/>
          <w:p>
            <w:pPr>
              <w:pStyle w:val="Compact"/>
              <w:jc w:val="left"/>
            </w:pPr>
            <w:r>
              <w:t xml:space="preserve">Top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46</w:t>
            </w:r>
          </w:p>
        </w:tc>
        <w:tc>
          <w:tcPr/>
          <w:p>
            <w:pPr>
              <w:pStyle w:val="Compact"/>
              <w:jc w:val="left"/>
            </w:pPr>
            <w:r>
              <w:rPr>
                <w:bCs/>
                <w:b/>
              </w:rPr>
              <w:t xml:space="preserve">Foley &amp; Lardner</w:t>
            </w:r>
          </w:p>
        </w:tc>
        <w:tc>
          <w:tcPr/>
          <w:p>
            <w:pPr>
              <w:pStyle w:val="Compact"/>
              <w:jc w:val="left"/>
            </w:pPr>
            <w:r>
              <w:t xml:space="preserve">Top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47</w:t>
            </w:r>
          </w:p>
        </w:tc>
        <w:tc>
          <w:tcPr/>
          <w:p>
            <w:pPr>
              <w:pStyle w:val="Compact"/>
              <w:jc w:val="left"/>
            </w:pPr>
            <w:r>
              <w:rPr>
                <w:bCs/>
                <w:b/>
              </w:rPr>
              <w:t xml:space="preserve">Greenberg Traurig</w:t>
            </w:r>
          </w:p>
        </w:tc>
        <w:tc>
          <w:tcPr/>
          <w:p>
            <w:pPr>
              <w:pStyle w:val="Compact"/>
              <w:jc w:val="left"/>
            </w:pPr>
            <w:r>
              <w:t xml:space="preserve">Top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48</w:t>
            </w:r>
          </w:p>
        </w:tc>
        <w:tc>
          <w:tcPr/>
          <w:p>
            <w:pPr>
              <w:pStyle w:val="Compact"/>
              <w:jc w:val="left"/>
            </w:pPr>
            <w:r>
              <w:rPr>
                <w:bCs/>
                <w:b/>
              </w:rPr>
              <w:t xml:space="preserve">Vinson &amp; Elkins</w:t>
            </w:r>
          </w:p>
        </w:tc>
        <w:tc>
          <w:tcPr/>
          <w:p>
            <w:pPr>
              <w:pStyle w:val="Compact"/>
              <w:jc w:val="left"/>
            </w:pPr>
            <w:r>
              <w:t xml:space="preserve">Top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49</w:t>
            </w:r>
          </w:p>
        </w:tc>
        <w:tc>
          <w:tcPr/>
          <w:p>
            <w:pPr>
              <w:pStyle w:val="Compact"/>
              <w:jc w:val="left"/>
            </w:pPr>
            <w:r>
              <w:rPr>
                <w:bCs/>
                <w:b/>
              </w:rPr>
              <w:t xml:space="preserve">Crowell &amp; Moring</w:t>
            </w:r>
          </w:p>
        </w:tc>
        <w:tc>
          <w:tcPr/>
          <w:p>
            <w:pPr>
              <w:pStyle w:val="Compact"/>
              <w:jc w:val="left"/>
            </w:pPr>
            <w:r>
              <w:t xml:space="preserve">Top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50</w:t>
            </w:r>
          </w:p>
        </w:tc>
        <w:tc>
          <w:tcPr/>
          <w:p>
            <w:pPr>
              <w:pStyle w:val="Compact"/>
              <w:jc w:val="left"/>
            </w:pPr>
            <w:r>
              <w:rPr>
                <w:bCs/>
                <w:b/>
              </w:rPr>
              <w:t xml:space="preserve">Sheppard Mullin</w:t>
            </w:r>
          </w:p>
        </w:tc>
        <w:tc>
          <w:tcPr/>
          <w:p>
            <w:pPr>
              <w:pStyle w:val="Compact"/>
              <w:jc w:val="left"/>
            </w:pPr>
            <w:r>
              <w:t xml:space="preserve">Top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51</w:t>
            </w:r>
          </w:p>
        </w:tc>
        <w:tc>
          <w:tcPr/>
          <w:p>
            <w:pPr>
              <w:pStyle w:val="Compact"/>
              <w:jc w:val="left"/>
            </w:pPr>
            <w:r>
              <w:rPr>
                <w:bCs/>
                <w:b/>
              </w:rPr>
              <w:t xml:space="preserve">Katten Muchin Rosenman</w:t>
            </w:r>
          </w:p>
        </w:tc>
        <w:tc>
          <w:tcPr/>
          <w:p>
            <w:pPr>
              <w:pStyle w:val="Compact"/>
              <w:jc w:val="left"/>
            </w:pPr>
            <w:r>
              <w:t xml:space="preserve">Top 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52</w:t>
            </w:r>
          </w:p>
        </w:tc>
        <w:tc>
          <w:tcPr/>
          <w:p>
            <w:pPr>
              <w:pStyle w:val="Compact"/>
              <w:jc w:val="left"/>
            </w:pPr>
            <w:r>
              <w:rPr>
                <w:bCs/>
                <w:b/>
              </w:rPr>
              <w:t xml:space="preserve">Cadwalader</w:t>
            </w:r>
          </w:p>
        </w:tc>
        <w:tc>
          <w:tcPr/>
          <w:p>
            <w:pPr>
              <w:pStyle w:val="Compact"/>
              <w:jc w:val="left"/>
            </w:pPr>
            <w:r>
              <w:t xml:space="preserve">Top 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Merged with Hogan Lovells (2025)</w:t>
            </w:r>
          </w:p>
        </w:tc>
      </w:tr>
      <w:tr>
        <w:tc>
          <w:tcPr/>
          <w:p>
            <w:pPr>
              <w:pStyle w:val="Compact"/>
              <w:jc w:val="left"/>
            </w:pPr>
            <w:r>
              <w:t xml:space="preserve">53</w:t>
            </w:r>
          </w:p>
        </w:tc>
        <w:tc>
          <w:tcPr/>
          <w:p>
            <w:pPr>
              <w:pStyle w:val="Compact"/>
              <w:jc w:val="left"/>
            </w:pPr>
            <w:r>
              <w:rPr>
                <w:bCs/>
                <w:b/>
              </w:rPr>
              <w:t xml:space="preserve">Troutman Pepper Locke</w:t>
            </w:r>
          </w:p>
        </w:tc>
        <w:tc>
          <w:tcPr/>
          <w:p>
            <w:pPr>
              <w:pStyle w:val="Compact"/>
              <w:jc w:val="left"/>
            </w:pPr>
            <w:r>
              <w:t xml:space="preserve">Top 60</w:t>
            </w:r>
          </w:p>
        </w:tc>
        <w:tc>
          <w:tcPr/>
          <w:p>
            <w:pPr>
              <w:pStyle w:val="Compact"/>
              <w:jc w:val="left"/>
            </w:pPr>
            <w:r>
              <w:t xml:space="preserve">?</w:t>
            </w:r>
          </w:p>
        </w:tc>
        <w:tc>
          <w:tcPr/>
          <w:p>
            <w:pPr>
              <w:pStyle w:val="Compact"/>
              <w:jc w:val="left"/>
            </w:pPr>
            <w:r>
              <w:t xml:space="preserve">PROP (Athena)</w:t>
            </w:r>
          </w:p>
        </w:tc>
        <w:tc>
          <w:tcPr/>
          <w:p>
            <w:pPr>
              <w:pStyle w:val="Compact"/>
              <w:jc w:val="left"/>
            </w:pPr>
            <w:r>
              <w:t xml:space="preserve">—</w:t>
            </w:r>
          </w:p>
        </w:tc>
        <w:tc>
          <w:tcPr/>
          <w:p>
            <w:pPr>
              <w:pStyle w:val="Compact"/>
              <w:jc w:val="left"/>
            </w:pPr>
            <w:r>
              <w:t xml:space="preserve">Built</w:t>
            </w:r>
            <w:r>
              <w:t xml:space="preserve"> </w:t>
            </w:r>
            <w:r>
              <w:t xml:space="preserve">“</w:t>
            </w:r>
            <w:r>
              <w:t xml:space="preserve">Athena</w:t>
            </w:r>
            <w:r>
              <w:t xml:space="preserve">”</w:t>
            </w:r>
            <w:r>
              <w:t xml:space="preserve"> </w:t>
            </w:r>
            <w:r>
              <w:t xml:space="preserve">on OpenAI GPT-4; 3,000 prompts/day; chatbot-style assistant</w:t>
            </w:r>
          </w:p>
        </w:tc>
      </w:tr>
      <w:tr>
        <w:tc>
          <w:tcPr/>
          <w:p>
            <w:pPr>
              <w:pStyle w:val="Compact"/>
              <w:jc w:val="left"/>
            </w:pPr>
            <w:r>
              <w:t xml:space="preserve">54</w:t>
            </w:r>
          </w:p>
        </w:tc>
        <w:tc>
          <w:tcPr/>
          <w:p>
            <w:pPr>
              <w:pStyle w:val="Compact"/>
              <w:jc w:val="left"/>
            </w:pPr>
            <w:r>
              <w:rPr>
                <w:bCs/>
                <w:b/>
              </w:rPr>
              <w:t xml:space="preserve">Husch Blackwell</w:t>
            </w:r>
          </w:p>
        </w:tc>
        <w:tc>
          <w:tcPr/>
          <w:p>
            <w:pPr>
              <w:pStyle w:val="Compact"/>
              <w:jc w:val="left"/>
            </w:pPr>
            <w:r>
              <w:t xml:space="preserve">Top 60</w:t>
            </w:r>
          </w:p>
        </w:tc>
        <w:tc>
          <w:tcPr/>
          <w:p>
            <w:pPr>
              <w:pStyle w:val="Compact"/>
              <w:jc w:val="left"/>
            </w:pPr>
            <w:r>
              <w:t xml:space="preserve">L</w:t>
            </w:r>
          </w:p>
        </w:tc>
        <w:tc>
          <w:tcPr/>
          <w:p>
            <w:pPr>
              <w:pStyle w:val="Compact"/>
              <w:jc w:val="left"/>
            </w:pPr>
            <w:r>
              <w:t xml:space="preserve">—</w:t>
            </w:r>
          </w:p>
        </w:tc>
        <w:tc>
          <w:tcPr/>
          <w:p>
            <w:pPr>
              <w:pStyle w:val="Compact"/>
              <w:jc w:val="left"/>
            </w:pPr>
            <w:r>
              <w:t xml:space="preserve">—</w:t>
            </w:r>
          </w:p>
        </w:tc>
        <w:tc>
          <w:tcPr/>
          <w:p>
            <w:pPr>
              <w:pStyle w:val="Compact"/>
              <w:jc w:val="left"/>
            </w:pPr>
            <w:r>
              <w:t xml:space="preserve">Firmwide Legora rollout; using Legora Workflows for multi-step automation</w:t>
            </w:r>
          </w:p>
        </w:tc>
      </w:tr>
      <w:tr>
        <w:tc>
          <w:tcPr/>
          <w:p>
            <w:pPr>
              <w:pStyle w:val="Compact"/>
              <w:jc w:val="left"/>
            </w:pPr>
            <w:r>
              <w:t xml:space="preserve">55</w:t>
            </w:r>
          </w:p>
        </w:tc>
        <w:tc>
          <w:tcPr/>
          <w:p>
            <w:pPr>
              <w:pStyle w:val="Compact"/>
              <w:jc w:val="left"/>
            </w:pPr>
            <w:r>
              <w:rPr>
                <w:bCs/>
                <w:b/>
              </w:rPr>
              <w:t xml:space="preserve">Polsinelli</w:t>
            </w:r>
          </w:p>
        </w:tc>
        <w:tc>
          <w:tcPr/>
          <w:p>
            <w:pPr>
              <w:pStyle w:val="Compact"/>
              <w:jc w:val="left"/>
            </w:pPr>
            <w:r>
              <w:t xml:space="preserve">Top 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56</w:t>
            </w:r>
          </w:p>
        </w:tc>
        <w:tc>
          <w:tcPr/>
          <w:p>
            <w:pPr>
              <w:pStyle w:val="Compact"/>
              <w:jc w:val="left"/>
            </w:pPr>
            <w:r>
              <w:rPr>
                <w:bCs/>
                <w:b/>
              </w:rPr>
              <w:t xml:space="preserve">Alston &amp; Bird</w:t>
            </w:r>
          </w:p>
        </w:tc>
        <w:tc>
          <w:tcPr/>
          <w:p>
            <w:pPr>
              <w:pStyle w:val="Compact"/>
              <w:jc w:val="left"/>
            </w:pPr>
            <w:r>
              <w:t xml:space="preserve">Top 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57</w:t>
            </w:r>
          </w:p>
        </w:tc>
        <w:tc>
          <w:tcPr/>
          <w:p>
            <w:pPr>
              <w:pStyle w:val="Compact"/>
              <w:jc w:val="left"/>
            </w:pPr>
            <w:r>
              <w:rPr>
                <w:bCs/>
                <w:b/>
              </w:rPr>
              <w:t xml:space="preserve">Seyfarth Shaw</w:t>
            </w:r>
          </w:p>
        </w:tc>
        <w:tc>
          <w:tcPr/>
          <w:p>
            <w:pPr>
              <w:pStyle w:val="Compact"/>
              <w:jc w:val="left"/>
            </w:pPr>
            <w:r>
              <w:t xml:space="preserve">Top 60</w:t>
            </w:r>
          </w:p>
        </w:tc>
        <w:tc>
          <w:tcPr/>
          <w:p>
            <w:pPr>
              <w:pStyle w:val="Compact"/>
              <w:jc w:val="left"/>
            </w:pPr>
            <w:r>
              <w:t xml:space="preserve">?</w:t>
            </w:r>
          </w:p>
        </w:tc>
        <w:tc>
          <w:tcPr/>
          <w:p>
            <w:pPr>
              <w:pStyle w:val="Compact"/>
              <w:jc w:val="left"/>
            </w:pPr>
            <w:r>
              <w:t xml:space="preserve">PROP (SeyfarthLean)</w:t>
            </w:r>
          </w:p>
        </w:tc>
        <w:tc>
          <w:tcPr/>
          <w:p>
            <w:pPr>
              <w:pStyle w:val="Compact"/>
              <w:jc w:val="left"/>
            </w:pPr>
            <w:r>
              <w:t xml:space="preserve">—</w:t>
            </w:r>
          </w:p>
        </w:tc>
        <w:tc>
          <w:tcPr/>
          <w:p>
            <w:pPr>
              <w:pStyle w:val="Compact"/>
              <w:jc w:val="left"/>
            </w:pPr>
            <w:r>
              <w:t xml:space="preserve">Long history of legal process innovation</w:t>
            </w:r>
          </w:p>
        </w:tc>
      </w:tr>
      <w:tr>
        <w:tc>
          <w:tcPr/>
          <w:p>
            <w:pPr>
              <w:pStyle w:val="Compact"/>
              <w:jc w:val="left"/>
            </w:pPr>
            <w:r>
              <w:t xml:space="preserve">58</w:t>
            </w:r>
          </w:p>
        </w:tc>
        <w:tc>
          <w:tcPr/>
          <w:p>
            <w:pPr>
              <w:pStyle w:val="Compact"/>
              <w:jc w:val="left"/>
            </w:pPr>
            <w:r>
              <w:rPr>
                <w:bCs/>
                <w:b/>
              </w:rPr>
              <w:t xml:space="preserve">McGuireWoods</w:t>
            </w:r>
          </w:p>
        </w:tc>
        <w:tc>
          <w:tcPr/>
          <w:p>
            <w:pPr>
              <w:pStyle w:val="Compact"/>
              <w:jc w:val="left"/>
            </w:pPr>
            <w:r>
              <w:t xml:space="preserve">Top 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t xml:space="preserve">59</w:t>
            </w:r>
          </w:p>
        </w:tc>
        <w:tc>
          <w:tcPr/>
          <w:p>
            <w:pPr>
              <w:pStyle w:val="Compact"/>
              <w:jc w:val="left"/>
            </w:pPr>
            <w:r>
              <w:rPr>
                <w:bCs/>
                <w:b/>
              </w:rPr>
              <w:t xml:space="preserve">Honigman</w:t>
            </w:r>
          </w:p>
        </w:tc>
        <w:tc>
          <w:tcPr/>
          <w:p>
            <w:pPr>
              <w:pStyle w:val="Compact"/>
              <w:jc w:val="left"/>
            </w:pPr>
            <w:r>
              <w:t xml:space="preserve">Top 70</w:t>
            </w:r>
          </w:p>
        </w:tc>
        <w:tc>
          <w:tcPr/>
          <w:p>
            <w:pPr>
              <w:pStyle w:val="Compact"/>
              <w:jc w:val="left"/>
            </w:pPr>
            <w:r>
              <w:t xml:space="preserve">H</w:t>
            </w:r>
          </w:p>
        </w:tc>
        <w:tc>
          <w:tcPr/>
          <w:p>
            <w:pPr>
              <w:pStyle w:val="Compact"/>
              <w:jc w:val="left"/>
            </w:pPr>
            <w:r>
              <w:t xml:space="preserve">—</w:t>
            </w:r>
          </w:p>
        </w:tc>
        <w:tc>
          <w:tcPr/>
          <w:p>
            <w:pPr>
              <w:pStyle w:val="Compact"/>
              <w:jc w:val="left"/>
            </w:pPr>
            <w:r>
              <w:t xml:space="preserve">—</w:t>
            </w:r>
          </w:p>
        </w:tc>
        <w:tc>
          <w:tcPr/>
          <w:p>
            <w:pPr>
              <w:pStyle w:val="Compact"/>
              <w:jc w:val="left"/>
            </w:pPr>
            <w:r>
              <w:t xml:space="preserve">Publicly announced Harvey AI integration</w:t>
            </w:r>
          </w:p>
        </w:tc>
      </w:tr>
      <w:tr>
        <w:tc>
          <w:tcPr/>
          <w:p>
            <w:pPr>
              <w:pStyle w:val="Compact"/>
              <w:jc w:val="left"/>
            </w:pPr>
            <w:r>
              <w:t xml:space="preserve">60</w:t>
            </w:r>
          </w:p>
        </w:tc>
        <w:tc>
          <w:tcPr/>
          <w:p>
            <w:pPr>
              <w:pStyle w:val="Compact"/>
              <w:jc w:val="left"/>
            </w:pPr>
            <w:r>
              <w:rPr>
                <w:bCs/>
                <w:b/>
              </w:rPr>
              <w:t xml:space="preserve">Cozen O’Connor</w:t>
            </w:r>
          </w:p>
        </w:tc>
        <w:tc>
          <w:tcPr/>
          <w:p>
            <w:pPr>
              <w:pStyle w:val="Compact"/>
              <w:jc w:val="left"/>
            </w:pPr>
            <w:r>
              <w:t xml:space="preserve">Top 70</w:t>
            </w:r>
          </w:p>
        </w:tc>
        <w:tc>
          <w:tcPr/>
          <w:p>
            <w:pPr>
              <w:pStyle w:val="Compact"/>
              <w:jc w:val="left"/>
            </w:pPr>
            <w:r>
              <w:t xml:space="preserve">DJ</w:t>
            </w:r>
          </w:p>
        </w:tc>
        <w:tc>
          <w:tcPr/>
          <w:p>
            <w:pPr>
              <w:pStyle w:val="Compact"/>
              <w:jc w:val="left"/>
            </w:pPr>
            <w:r>
              <w:t xml:space="preserve">—</w:t>
            </w:r>
          </w:p>
        </w:tc>
        <w:tc>
          <w:tcPr/>
          <w:p>
            <w:pPr>
              <w:pStyle w:val="Compact"/>
              <w:jc w:val="left"/>
            </w:pPr>
            <w:r>
              <w:t xml:space="preserve">—</w:t>
            </w:r>
          </w:p>
        </w:tc>
        <w:tc>
          <w:tcPr/>
          <w:p>
            <w:pPr>
              <w:pStyle w:val="Compact"/>
              <w:jc w:val="left"/>
            </w:pPr>
            <w:r>
              <w:t xml:space="preserve">DeepJudge customer (825+ attorneys, 30 offices)</w:t>
            </w:r>
          </w:p>
        </w:tc>
      </w:tr>
      <w:tr>
        <w:tc>
          <w:tcPr/>
          <w:p>
            <w:pPr>
              <w:pStyle w:val="Compact"/>
              <w:jc w:val="left"/>
            </w:pPr>
            <w:r>
              <w:t xml:space="preserve">61</w:t>
            </w:r>
          </w:p>
        </w:tc>
        <w:tc>
          <w:tcPr/>
          <w:p>
            <w:pPr>
              <w:pStyle w:val="Compact"/>
              <w:jc w:val="left"/>
            </w:pPr>
            <w:r>
              <w:rPr>
                <w:bCs/>
                <w:b/>
              </w:rPr>
              <w:t xml:space="preserve">Jackson Lewis</w:t>
            </w:r>
          </w:p>
        </w:tc>
        <w:tc>
          <w:tcPr/>
          <w:p>
            <w:pPr>
              <w:pStyle w:val="Compact"/>
              <w:jc w:val="left"/>
            </w:pPr>
            <w:r>
              <w:t xml:space="preserve">Top 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Named to Am Law 100 for RPL</w:t>
            </w:r>
          </w:p>
        </w:tc>
      </w:tr>
      <w:tr>
        <w:tc>
          <w:tcPr/>
          <w:p>
            <w:pPr>
              <w:pStyle w:val="Compact"/>
              <w:jc w:val="left"/>
            </w:pPr>
            <w:r>
              <w:t xml:space="preserve">62</w:t>
            </w:r>
          </w:p>
        </w:tc>
        <w:tc>
          <w:tcPr/>
          <w:p>
            <w:pPr>
              <w:pStyle w:val="Compact"/>
              <w:jc w:val="left"/>
            </w:pPr>
            <w:r>
              <w:rPr>
                <w:bCs/>
                <w:b/>
              </w:rPr>
              <w:t xml:space="preserve">ArentFox Schiff</w:t>
            </w:r>
          </w:p>
        </w:tc>
        <w:tc>
          <w:tcPr/>
          <w:p>
            <w:pPr>
              <w:pStyle w:val="Compact"/>
              <w:jc w:val="left"/>
            </w:pPr>
            <w:r>
              <w:t xml:space="preserve">Top 80</w:t>
            </w:r>
          </w:p>
        </w:tc>
        <w:tc>
          <w:tcPr/>
          <w:p>
            <w:pPr>
              <w:pStyle w:val="Compact"/>
              <w:jc w:val="left"/>
            </w:pPr>
            <w:r>
              <w:t xml:space="preserve">DJ</w:t>
            </w:r>
          </w:p>
        </w:tc>
        <w:tc>
          <w:tcPr/>
          <w:p>
            <w:pPr>
              <w:pStyle w:val="Compact"/>
              <w:jc w:val="left"/>
            </w:pPr>
            <w:r>
              <w:t xml:space="preserve">—</w:t>
            </w:r>
          </w:p>
        </w:tc>
        <w:tc>
          <w:tcPr/>
          <w:p>
            <w:pPr>
              <w:pStyle w:val="Compact"/>
              <w:jc w:val="left"/>
            </w:pPr>
            <w:r>
              <w:t xml:space="preserve">—</w:t>
            </w:r>
          </w:p>
        </w:tc>
        <w:tc>
          <w:tcPr/>
          <w:p>
            <w:pPr>
              <w:pStyle w:val="Compact"/>
              <w:jc w:val="left"/>
            </w:pPr>
            <w:r>
              <w:t xml:space="preserve">DeepJudge customer (650+ lawyers, 8 US cities)</w:t>
            </w:r>
          </w:p>
        </w:tc>
      </w:tr>
      <w:tr>
        <w:tc>
          <w:tcPr/>
          <w:p>
            <w:pPr>
              <w:pStyle w:val="Compact"/>
              <w:jc w:val="left"/>
            </w:pPr>
            <w:r>
              <w:t xml:space="preserve">63</w:t>
            </w:r>
          </w:p>
        </w:tc>
        <w:tc>
          <w:tcPr/>
          <w:p>
            <w:pPr>
              <w:pStyle w:val="Compact"/>
              <w:jc w:val="left"/>
            </w:pPr>
            <w:r>
              <w:rPr>
                <w:bCs/>
                <w:b/>
              </w:rPr>
              <w:t xml:space="preserve">Gunderson Dettmer</w:t>
            </w:r>
          </w:p>
        </w:tc>
        <w:tc>
          <w:tcPr/>
          <w:p>
            <w:pPr>
              <w:pStyle w:val="Compact"/>
              <w:jc w:val="left"/>
            </w:pPr>
            <w:r>
              <w:t xml:space="preserve">Top 80</w:t>
            </w:r>
          </w:p>
        </w:tc>
        <w:tc>
          <w:tcPr/>
          <w:p>
            <w:pPr>
              <w:pStyle w:val="Compact"/>
              <w:jc w:val="left"/>
            </w:pPr>
            <w:r>
              <w:t xml:space="preserve">DJ</w:t>
            </w:r>
          </w:p>
        </w:tc>
        <w:tc>
          <w:tcPr/>
          <w:p>
            <w:pPr>
              <w:pStyle w:val="Compact"/>
              <w:jc w:val="left"/>
            </w:pPr>
            <w:r>
              <w:t xml:space="preserve">—</w:t>
            </w:r>
          </w:p>
        </w:tc>
        <w:tc>
          <w:tcPr/>
          <w:p>
            <w:pPr>
              <w:pStyle w:val="Compact"/>
              <w:jc w:val="left"/>
            </w:pPr>
            <w:r>
              <w:t xml:space="preserve">—</w:t>
            </w:r>
          </w:p>
        </w:tc>
        <w:tc>
          <w:tcPr/>
          <w:p>
            <w:pPr>
              <w:pStyle w:val="Compact"/>
              <w:jc w:val="left"/>
            </w:pPr>
            <w:r>
              <w:t xml:space="preserve">DeepJudge customer; VC-focused firm</w:t>
            </w:r>
          </w:p>
        </w:tc>
      </w:tr>
      <w:tr>
        <w:tc>
          <w:tcPr/>
          <w:p>
            <w:pPr>
              <w:pStyle w:val="Compact"/>
              <w:jc w:val="left"/>
            </w:pPr>
            <w:r>
              <w:t xml:space="preserve">64</w:t>
            </w:r>
          </w:p>
        </w:tc>
        <w:tc>
          <w:tcPr/>
          <w:p>
            <w:pPr>
              <w:pStyle w:val="Compact"/>
              <w:jc w:val="left"/>
            </w:pPr>
            <w:r>
              <w:rPr>
                <w:bCs/>
                <w:b/>
              </w:rPr>
              <w:t xml:space="preserve">Taft</w:t>
            </w:r>
          </w:p>
        </w:tc>
        <w:tc>
          <w:tcPr/>
          <w:p>
            <w:pPr>
              <w:pStyle w:val="Compact"/>
              <w:jc w:val="left"/>
            </w:pPr>
            <w:r>
              <w:t xml:space="preserve">Top 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Rose four spots in 2025 Am Law 100</w:t>
            </w:r>
          </w:p>
        </w:tc>
      </w:tr>
      <w:tr>
        <w:tc>
          <w:tcPr/>
          <w:p>
            <w:pPr>
              <w:pStyle w:val="Compact"/>
              <w:jc w:val="left"/>
            </w:pPr>
            <w:r>
              <w:t xml:space="preserve">65</w:t>
            </w:r>
          </w:p>
        </w:tc>
        <w:tc>
          <w:tcPr/>
          <w:p>
            <w:pPr>
              <w:pStyle w:val="Compact"/>
              <w:jc w:val="left"/>
            </w:pPr>
            <w:r>
              <w:rPr>
                <w:bCs/>
                <w:b/>
              </w:rPr>
              <w:t xml:space="preserve">Susman Godfrey</w:t>
            </w:r>
          </w:p>
        </w:tc>
        <w:tc>
          <w:tcPr/>
          <w:p>
            <w:pPr>
              <w:pStyle w:val="Compact"/>
              <w:jc w:val="left"/>
            </w:pPr>
            <w:r>
              <w:t xml:space="preserve">Top 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Saw 33.5% RPL drop</w:t>
            </w:r>
          </w:p>
        </w:tc>
      </w:tr>
      <w:tr>
        <w:tc>
          <w:tcPr/>
          <w:p>
            <w:pPr>
              <w:pStyle w:val="Compact"/>
              <w:jc w:val="left"/>
            </w:pPr>
            <w:r>
              <w:t xml:space="preserve">66-100</w:t>
            </w:r>
          </w:p>
        </w:tc>
        <w:tc>
          <w:tcPr/>
          <w:p>
            <w:pPr>
              <w:pStyle w:val="Compact"/>
              <w:jc w:val="left"/>
            </w:pPr>
            <w:r>
              <w:rPr>
                <w:iCs/>
                <w:i/>
              </w:rPr>
              <w:t xml:space="preserve">Various Am Law firms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Most have experimented with AI; specific vendor relationships largely undisclosed</w:t>
            </w:r>
          </w:p>
        </w:tc>
      </w:tr>
    </w:tbl>
    <w:bookmarkEnd w:id="29"/>
    <w:bookmarkStart w:id="30" w:name="key-global-firms-outside-am-law-100"/>
    <w:p>
      <w:pPr>
        <w:pStyle w:val="Heading3"/>
      </w:pPr>
      <w:r>
        <w:t xml:space="preserve">Key Global Firms (Outside Am Law 100)</w:t>
      </w:r>
    </w:p>
    <w:tbl>
      <w:tblPr>
        <w:tblStyle w:val="Table"/>
        <w:tblW w:type="pct" w:w="5000"/>
        <w:tblLook w:firstRow="1" w:lastRow="0" w:firstColumn="0" w:lastColumn="0" w:noHBand="0" w:noVBand="0" w:val="0020"/>
        <w:jc w:val="start"/>
      </w:tblPr>
      <w:tblGrid>
        <w:gridCol w:w="720"/>
        <w:gridCol w:w="600"/>
        <w:gridCol w:w="1800"/>
        <w:gridCol w:w="1920"/>
        <w:gridCol w:w="2040"/>
        <w:gridCol w:w="840"/>
      </w:tblGrid>
      <w:tr>
        <w:trPr>
          <w:tblHeader w:val="true"/>
        </w:trPr>
        <w:tc>
          <w:tcPr/>
          <w:p>
            <w:pPr>
              <w:pStyle w:val="Compact"/>
              <w:jc w:val="left"/>
            </w:pPr>
            <w:r>
              <w:t xml:space="preserve">Firm</w:t>
            </w:r>
          </w:p>
        </w:tc>
        <w:tc>
          <w:tcPr/>
          <w:p>
            <w:pPr>
              <w:pStyle w:val="Compact"/>
              <w:jc w:val="left"/>
            </w:pPr>
            <w:r>
              <w:t xml:space="preserve">HQ</w:t>
            </w:r>
          </w:p>
        </w:tc>
        <w:tc>
          <w:tcPr/>
          <w:p>
            <w:pPr>
              <w:pStyle w:val="Compact"/>
              <w:jc w:val="left"/>
            </w:pPr>
            <w:r>
              <w:t xml:space="preserve">Third-Party AI</w:t>
            </w:r>
          </w:p>
        </w:tc>
        <w:tc>
          <w:tcPr/>
          <w:p>
            <w:pPr>
              <w:pStyle w:val="Compact"/>
              <w:jc w:val="left"/>
            </w:pPr>
            <w:r>
              <w:t xml:space="preserve">Proprietary AI</w:t>
            </w:r>
          </w:p>
        </w:tc>
        <w:tc>
          <w:tcPr/>
          <w:p>
            <w:pPr>
              <w:pStyle w:val="Compact"/>
              <w:jc w:val="left"/>
            </w:pPr>
            <w:r>
              <w:t xml:space="preserve">Build-Then-Buy?</w:t>
            </w:r>
          </w:p>
        </w:tc>
        <w:tc>
          <w:tcPr/>
          <w:p>
            <w:pPr>
              <w:pStyle w:val="Compact"/>
              <w:jc w:val="left"/>
            </w:pPr>
            <w:r>
              <w:t xml:space="preserve">Notes</w:t>
            </w:r>
          </w:p>
        </w:tc>
      </w:tr>
      <w:tr>
        <w:tc>
          <w:tcPr/>
          <w:p>
            <w:pPr>
              <w:pStyle w:val="Compact"/>
              <w:jc w:val="left"/>
            </w:pPr>
            <w:r>
              <w:rPr>
                <w:bCs/>
                <w:b/>
              </w:rPr>
              <w:t xml:space="preserve">A&amp;O Shearman</w:t>
            </w:r>
          </w:p>
        </w:tc>
        <w:tc>
          <w:tcPr/>
          <w:p>
            <w:pPr>
              <w:pStyle w:val="Compact"/>
              <w:jc w:val="left"/>
            </w:pPr>
            <w:r>
              <w:t xml:space="preserve">London/NYC</w:t>
            </w:r>
          </w:p>
        </w:tc>
        <w:tc>
          <w:tcPr/>
          <w:p>
            <w:pPr>
              <w:pStyle w:val="Compact"/>
              <w:jc w:val="left"/>
            </w:pPr>
            <w:r>
              <w:t xml:space="preserve">H</w:t>
            </w:r>
          </w:p>
        </w:tc>
        <w:tc>
          <w:tcPr/>
          <w:p>
            <w:pPr>
              <w:pStyle w:val="Compact"/>
              <w:jc w:val="left"/>
            </w:pPr>
            <w:r>
              <w:t xml:space="preserve">PROP (ContractMatrix w/ Microsoft)</w:t>
            </w:r>
          </w:p>
        </w:tc>
        <w:tc>
          <w:tcPr/>
          <w:p>
            <w:pPr>
              <w:pStyle w:val="Compact"/>
              <w:jc w:val="left"/>
            </w:pPr>
            <w:r>
              <w:t xml:space="preserve">—</w:t>
            </w:r>
          </w:p>
        </w:tc>
        <w:tc>
          <w:tcPr/>
          <w:p>
            <w:pPr>
              <w:pStyle w:val="Compact"/>
              <w:jc w:val="left"/>
            </w:pPr>
            <w:r>
              <w:t xml:space="preserve">First major Harvey customer (2023); co-development partnership; productising AI tools for clients</w:t>
            </w:r>
          </w:p>
        </w:tc>
      </w:tr>
      <w:tr>
        <w:tc>
          <w:tcPr/>
          <w:p>
            <w:pPr>
              <w:pStyle w:val="Compact"/>
              <w:jc w:val="left"/>
            </w:pPr>
            <w:r>
              <w:rPr>
                <w:bCs/>
                <w:b/>
              </w:rPr>
              <w:t xml:space="preserve">Clifford Chance</w:t>
            </w:r>
          </w:p>
        </w:tc>
        <w:tc>
          <w:tcPr/>
          <w:p>
            <w:pPr>
              <w:pStyle w:val="Compact"/>
              <w:jc w:val="left"/>
            </w:pPr>
            <w:r>
              <w:t xml:space="preserve">London</w:t>
            </w:r>
          </w:p>
        </w:tc>
        <w:tc>
          <w:tcPr/>
          <w:p>
            <w:pPr>
              <w:pStyle w:val="Compact"/>
              <w:jc w:val="left"/>
            </w:pPr>
            <w:r>
              <w:t xml:space="preserve">K</w:t>
            </w:r>
          </w:p>
        </w:tc>
        <w:tc>
          <w:tcPr/>
          <w:p>
            <w:pPr>
              <w:pStyle w:val="Compact"/>
              <w:jc w:val="left"/>
            </w:pPr>
            <w:r>
              <w:t xml:space="preserve">PROP (CC Assist on Azure OpenAI)</w:t>
            </w:r>
          </w:p>
        </w:tc>
        <w:tc>
          <w:tcPr/>
          <w:p>
            <w:pPr>
              <w:pStyle w:val="Compact"/>
              <w:jc w:val="left"/>
            </w:pPr>
            <w:r>
              <w:t xml:space="preserve">—</w:t>
            </w:r>
          </w:p>
        </w:tc>
        <w:tc>
          <w:tcPr/>
          <w:p>
            <w:pPr>
              <w:pStyle w:val="Compact"/>
              <w:jc w:val="left"/>
            </w:pPr>
            <w:r>
              <w:t xml:space="preserve">Built</w:t>
            </w:r>
            <w:r>
              <w:t xml:space="preserve"> </w:t>
            </w:r>
            <w:r>
              <w:t xml:space="preserve">“</w:t>
            </w:r>
            <w:r>
              <w:t xml:space="preserve">CC Assist</w:t>
            </w:r>
            <w:r>
              <w:t xml:space="preserve">”</w:t>
            </w:r>
            <w:r>
              <w:t xml:space="preserve"> </w:t>
            </w:r>
            <w:r>
              <w:t xml:space="preserve">on Azure; 60%+ daily adoption; AI &amp; Innovation Board; also uses MS Copilot and Kira</w:t>
            </w:r>
          </w:p>
        </w:tc>
      </w:tr>
      <w:tr>
        <w:tc>
          <w:tcPr/>
          <w:p>
            <w:pPr>
              <w:pStyle w:val="Compact"/>
              <w:jc w:val="left"/>
            </w:pPr>
            <w:r>
              <w:rPr>
                <w:bCs/>
                <w:b/>
              </w:rPr>
              <w:t xml:space="preserve">Linklaters</w:t>
            </w:r>
          </w:p>
        </w:tc>
        <w:tc>
          <w:tcPr/>
          <w:p>
            <w:pPr>
              <w:pStyle w:val="Compact"/>
              <w:jc w:val="left"/>
            </w:pPr>
            <w:r>
              <w:t xml:space="preserve">London</w:t>
            </w:r>
          </w:p>
        </w:tc>
        <w:tc>
          <w:tcPr/>
          <w:p>
            <w:pPr>
              <w:pStyle w:val="Compact"/>
              <w:jc w:val="left"/>
            </w:pPr>
            <w:r>
              <w:rPr>
                <w:bCs/>
                <w:b/>
              </w:rPr>
              <w:t xml:space="preserve">L</w:t>
            </w:r>
          </w:p>
        </w:tc>
        <w:tc>
          <w:tcPr/>
          <w:p>
            <w:pPr>
              <w:pStyle w:val="Compact"/>
              <w:jc w:val="left"/>
            </w:pPr>
            <w:r>
              <w:t xml:space="preserve">PROP (Laila on Azure OpenAI; Nakhoda; CreateiQ)</w:t>
            </w:r>
          </w:p>
        </w:tc>
        <w:tc>
          <w:tcPr/>
          <w:p>
            <w:pPr>
              <w:pStyle w:val="Compact"/>
              <w:jc w:val="left"/>
            </w:pPr>
            <w:r>
              <w:rPr>
                <w:bCs/>
                <w:b/>
              </w:rPr>
              <w:t xml:space="preserve">B→B</w:t>
            </w:r>
          </w:p>
        </w:tc>
        <w:tc>
          <w:tcPr/>
          <w:p>
            <w:pPr>
              <w:pStyle w:val="Compact"/>
              <w:jc w:val="left"/>
            </w:pPr>
            <w:r>
              <w:rPr>
                <w:bCs/>
                <w:b/>
              </w:rPr>
              <w:t xml:space="preserve">Built Laila (200K uses/month) then adopted Legora firmwide across 30 offices after extensive pilot; Laila future</w:t>
            </w:r>
            <w:r>
              <w:rPr>
                <w:bCs/>
                <w:b/>
              </w:rPr>
              <w:t xml:space="preserve"> </w:t>
            </w:r>
            <w:r>
              <w:rPr>
                <w:bCs/>
                <w:b/>
              </w:rPr>
              <w:t xml:space="preserve">“</w:t>
            </w:r>
            <w:r>
              <w:rPr>
                <w:bCs/>
                <w:b/>
              </w:rPr>
              <w:t xml:space="preserve">under review</w:t>
            </w:r>
            <w:r>
              <w:rPr>
                <w:bCs/>
                <w:b/>
              </w:rPr>
              <w:t xml:space="preserve">”</w:t>
            </w:r>
          </w:p>
        </w:tc>
      </w:tr>
      <w:tr>
        <w:tc>
          <w:tcPr/>
          <w:p>
            <w:pPr>
              <w:pStyle w:val="Compact"/>
              <w:jc w:val="left"/>
            </w:pPr>
            <w:r>
              <w:rPr>
                <w:bCs/>
                <w:b/>
              </w:rPr>
              <w:t xml:space="preserve">Freshfields</w:t>
            </w:r>
          </w:p>
        </w:tc>
        <w:tc>
          <w:tcPr/>
          <w:p>
            <w:pPr>
              <w:pStyle w:val="Compact"/>
              <w:jc w:val="left"/>
            </w:pPr>
            <w:r>
              <w:t xml:space="preserve">London</w:t>
            </w:r>
          </w:p>
        </w:tc>
        <w:tc>
          <w:tcPr/>
          <w:p>
            <w:pPr>
              <w:pStyle w:val="Compact"/>
              <w:jc w:val="left"/>
            </w:pPr>
            <w:r>
              <w:t xml:space="preserve">DJ</w:t>
            </w:r>
          </w:p>
        </w:tc>
        <w:tc>
          <w:tcPr/>
          <w:p>
            <w:pPr>
              <w:pStyle w:val="Compact"/>
              <w:jc w:val="left"/>
            </w:pPr>
            <w:r>
              <w:t xml:space="preserve">PROP (Google Cloud partnership)</w:t>
            </w:r>
          </w:p>
        </w:tc>
        <w:tc>
          <w:tcPr/>
          <w:p>
            <w:pPr>
              <w:pStyle w:val="Compact"/>
              <w:jc w:val="left"/>
            </w:pPr>
            <w:r>
              <w:t xml:space="preserve">Partial B→B</w:t>
            </w:r>
          </w:p>
        </w:tc>
        <w:tc>
          <w:tcPr/>
          <w:p>
            <w:pPr>
              <w:pStyle w:val="Compact"/>
              <w:jc w:val="left"/>
            </w:pPr>
            <w:r>
              <w:t xml:space="preserve">Strategic AI collaboration with Google Cloud; subsequently selected DeepJudge for enterprise search/knowledge</w:t>
            </w:r>
          </w:p>
        </w:tc>
      </w:tr>
      <w:tr>
        <w:tc>
          <w:tcPr/>
          <w:p>
            <w:pPr>
              <w:pStyle w:val="Compact"/>
              <w:jc w:val="left"/>
            </w:pPr>
            <w:r>
              <w:rPr>
                <w:bCs/>
                <w:b/>
              </w:rPr>
              <w:t xml:space="preserve">Slaughter and May</w:t>
            </w:r>
          </w:p>
        </w:tc>
        <w:tc>
          <w:tcPr/>
          <w:p>
            <w:pPr>
              <w:pStyle w:val="Compact"/>
              <w:jc w:val="left"/>
            </w:pPr>
            <w:r>
              <w:t xml:space="preserve">London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 AI/tech matter volume; no public vendor disclosure</w:t>
            </w:r>
          </w:p>
        </w:tc>
      </w:tr>
      <w:tr>
        <w:tc>
          <w:tcPr/>
          <w:p>
            <w:pPr>
              <w:pStyle w:val="Compact"/>
              <w:jc w:val="left"/>
            </w:pPr>
            <w:r>
              <w:rPr>
                <w:bCs/>
                <w:b/>
              </w:rPr>
              <w:t xml:space="preserve">Herbert Smith Freehills</w:t>
            </w:r>
          </w:p>
        </w:tc>
        <w:tc>
          <w:tcPr/>
          <w:p>
            <w:pPr>
              <w:pStyle w:val="Compact"/>
              <w:jc w:val="left"/>
            </w:pPr>
            <w:r>
              <w:t xml:space="preserve">London/Sydney</w:t>
            </w:r>
          </w:p>
        </w:tc>
        <w:tc>
          <w:tcPr/>
          <w:p>
            <w:pPr>
              <w:pStyle w:val="Compact"/>
              <w:jc w:val="left"/>
            </w:pPr>
            <w:r>
              <w:t xml:space="preserve">?</w:t>
            </w:r>
          </w:p>
        </w:tc>
        <w:tc>
          <w:tcPr/>
          <w:p>
            <w:pPr>
              <w:pStyle w:val="Compact"/>
              <w:jc w:val="left"/>
            </w:pPr>
            <w:r>
              <w:t xml:space="preserve">PROP (HSF AI Tracker; proprietary digital ecosystem)</w:t>
            </w:r>
          </w:p>
        </w:tc>
        <w:tc>
          <w:tcPr/>
          <w:p>
            <w:pPr>
              <w:pStyle w:val="Compact"/>
              <w:jc w:val="left"/>
            </w:pPr>
            <w:r>
              <w:t xml:space="preserve">—</w:t>
            </w:r>
          </w:p>
        </w:tc>
        <w:tc>
          <w:tcPr/>
          <w:p>
            <w:pPr>
              <w:pStyle w:val="Compact"/>
              <w:jc w:val="left"/>
            </w:pPr>
            <w:r>
              <w:t xml:space="preserve">Deliberate</w:t>
            </w:r>
            <w:r>
              <w:t xml:space="preserve"> </w:t>
            </w:r>
            <w:r>
              <w:t xml:space="preserve">“</w:t>
            </w:r>
            <w:r>
              <w:t xml:space="preserve">build</w:t>
            </w:r>
            <w:r>
              <w:t xml:space="preserve">”</w:t>
            </w:r>
            <w:r>
              <w:t xml:space="preserve"> </w:t>
            </w:r>
            <w:r>
              <w:t xml:space="preserve">strategy; merged with Kramer Levin (2025); AI cited as merger driver</w:t>
            </w:r>
          </w:p>
        </w:tc>
      </w:tr>
      <w:tr>
        <w:tc>
          <w:tcPr/>
          <w:p>
            <w:pPr>
              <w:pStyle w:val="Compact"/>
              <w:jc w:val="left"/>
            </w:pPr>
            <w:r>
              <w:rPr>
                <w:bCs/>
                <w:b/>
              </w:rPr>
              <w:t xml:space="preserve">Ashurst</w:t>
            </w:r>
          </w:p>
        </w:tc>
        <w:tc>
          <w:tcPr/>
          <w:p>
            <w:pPr>
              <w:pStyle w:val="Compact"/>
              <w:jc w:val="left"/>
            </w:pPr>
            <w:r>
              <w:t xml:space="preserve">London</w:t>
            </w:r>
          </w:p>
        </w:tc>
        <w:tc>
          <w:tcPr/>
          <w:p>
            <w:pPr>
              <w:pStyle w:val="Compact"/>
              <w:jc w:val="left"/>
            </w:pPr>
            <w:r>
              <w:t xml:space="preserve">H</w:t>
            </w:r>
          </w:p>
        </w:tc>
        <w:tc>
          <w:tcPr/>
          <w:p>
            <w:pPr>
              <w:pStyle w:val="Compact"/>
              <w:jc w:val="left"/>
            </w:pPr>
            <w:r>
              <w:t xml:space="preserve">—</w:t>
            </w:r>
          </w:p>
        </w:tc>
        <w:tc>
          <w:tcPr/>
          <w:p>
            <w:pPr>
              <w:pStyle w:val="Compact"/>
              <w:jc w:val="left"/>
            </w:pPr>
            <w:r>
              <w:t xml:space="preserve">—</w:t>
            </w:r>
          </w:p>
        </w:tc>
        <w:tc>
          <w:tcPr/>
          <w:p>
            <w:pPr>
              <w:pStyle w:val="Compact"/>
              <w:jc w:val="left"/>
            </w:pPr>
            <w:r>
              <w:t xml:space="preserve">First global firm to roll out Harvey across all offices simultaneously (2024); former CDO Tara Waters joined Harvey</w:t>
            </w:r>
          </w:p>
        </w:tc>
      </w:tr>
      <w:tr>
        <w:tc>
          <w:tcPr/>
          <w:p>
            <w:pPr>
              <w:pStyle w:val="Compact"/>
              <w:jc w:val="left"/>
            </w:pPr>
            <w:r>
              <w:rPr>
                <w:bCs/>
                <w:b/>
              </w:rPr>
              <w:t xml:space="preserve">CMS</w:t>
            </w:r>
          </w:p>
        </w:tc>
        <w:tc>
          <w:tcPr/>
          <w:p>
            <w:pPr>
              <w:pStyle w:val="Compact"/>
              <w:jc w:val="left"/>
            </w:pPr>
            <w:r>
              <w:t xml:space="preserve">Multi-HQ</w:t>
            </w:r>
          </w:p>
        </w:tc>
        <w:tc>
          <w:tcPr/>
          <w:p>
            <w:pPr>
              <w:pStyle w:val="Compact"/>
              <w:jc w:val="left"/>
            </w:pPr>
            <w:r>
              <w:t xml:space="preserve">H, DJ (Switzerland)</w:t>
            </w:r>
          </w:p>
        </w:tc>
        <w:tc>
          <w:tcPr/>
          <w:p>
            <w:pPr>
              <w:pStyle w:val="Compact"/>
              <w:jc w:val="left"/>
            </w:pPr>
            <w:r>
              <w:t xml:space="preserve">—</w:t>
            </w:r>
          </w:p>
        </w:tc>
        <w:tc>
          <w:tcPr/>
          <w:p>
            <w:pPr>
              <w:pStyle w:val="Compact"/>
              <w:jc w:val="left"/>
            </w:pPr>
            <w:r>
              <w:t xml:space="preserve">—</w:t>
            </w:r>
          </w:p>
        </w:tc>
        <w:tc>
          <w:tcPr/>
          <w:p>
            <w:pPr>
              <w:pStyle w:val="Compact"/>
              <w:jc w:val="left"/>
            </w:pPr>
            <w:r>
              <w:t xml:space="preserve">Largest Harvey rollout in EMEA by seats; CMS Switzerland uses DeepJudge</w:t>
            </w:r>
          </w:p>
        </w:tc>
      </w:tr>
      <w:tr>
        <w:tc>
          <w:tcPr/>
          <w:p>
            <w:pPr>
              <w:pStyle w:val="Compact"/>
              <w:jc w:val="left"/>
            </w:pPr>
            <w:r>
              <w:rPr>
                <w:bCs/>
                <w:b/>
              </w:rPr>
              <w:t xml:space="preserve">Bird &amp; Bird</w:t>
            </w:r>
          </w:p>
        </w:tc>
        <w:tc>
          <w:tcPr/>
          <w:p>
            <w:pPr>
              <w:pStyle w:val="Compact"/>
              <w:jc w:val="left"/>
            </w:pPr>
            <w:r>
              <w:t xml:space="preserve">London</w:t>
            </w:r>
          </w:p>
        </w:tc>
        <w:tc>
          <w:tcPr/>
          <w:p>
            <w:pPr>
              <w:pStyle w:val="Compact"/>
              <w:jc w:val="left"/>
            </w:pPr>
            <w:r>
              <w:t xml:space="preserve">L</w:t>
            </w:r>
          </w:p>
        </w:tc>
        <w:tc>
          <w:tcPr/>
          <w:p>
            <w:pPr>
              <w:pStyle w:val="Compact"/>
              <w:jc w:val="left"/>
            </w:pPr>
            <w:r>
              <w:t xml:space="preserve">—</w:t>
            </w:r>
          </w:p>
        </w:tc>
        <w:tc>
          <w:tcPr/>
          <w:p>
            <w:pPr>
              <w:pStyle w:val="Compact"/>
              <w:jc w:val="left"/>
            </w:pPr>
            <w:r>
              <w:t xml:space="preserve">—</w:t>
            </w:r>
          </w:p>
        </w:tc>
        <w:tc>
          <w:tcPr/>
          <w:p>
            <w:pPr>
              <w:pStyle w:val="Compact"/>
              <w:jc w:val="left"/>
            </w:pPr>
            <w:r>
              <w:t xml:space="preserve">Firmwide Legora rollout after 6-month pilot; 675 individuals engaged during trial</w:t>
            </w:r>
          </w:p>
        </w:tc>
      </w:tr>
      <w:tr>
        <w:tc>
          <w:tcPr/>
          <w:p>
            <w:pPr>
              <w:pStyle w:val="Compact"/>
              <w:jc w:val="left"/>
            </w:pPr>
            <w:r>
              <w:rPr>
                <w:bCs/>
                <w:b/>
              </w:rPr>
              <w:t xml:space="preserve">Mishcon de Reya</w:t>
            </w:r>
          </w:p>
        </w:tc>
        <w:tc>
          <w:tcPr/>
          <w:p>
            <w:pPr>
              <w:pStyle w:val="Compact"/>
              <w:jc w:val="left"/>
            </w:pPr>
            <w:r>
              <w:t xml:space="preserve">London</w:t>
            </w:r>
          </w:p>
        </w:tc>
        <w:tc>
          <w:tcPr/>
          <w:p>
            <w:pPr>
              <w:pStyle w:val="Compact"/>
              <w:jc w:val="left"/>
            </w:pPr>
            <w:r>
              <w:t xml:space="preserve">L</w:t>
            </w:r>
          </w:p>
        </w:tc>
        <w:tc>
          <w:tcPr/>
          <w:p>
            <w:pPr>
              <w:pStyle w:val="Compact"/>
              <w:jc w:val="left"/>
            </w:pPr>
            <w:r>
              <w:t xml:space="preserve">—</w:t>
            </w:r>
          </w:p>
        </w:tc>
        <w:tc>
          <w:tcPr/>
          <w:p>
            <w:pPr>
              <w:pStyle w:val="Compact"/>
              <w:jc w:val="left"/>
            </w:pPr>
            <w:r>
              <w:t xml:space="preserve">—</w:t>
            </w:r>
          </w:p>
        </w:tc>
        <w:tc>
          <w:tcPr/>
          <w:p>
            <w:pPr>
              <w:pStyle w:val="Compact"/>
              <w:jc w:val="left"/>
            </w:pPr>
            <w:r>
              <w:t xml:space="preserve">Legora customer and Portal design partner</w:t>
            </w:r>
          </w:p>
        </w:tc>
      </w:tr>
      <w:tr>
        <w:tc>
          <w:tcPr/>
          <w:p>
            <w:pPr>
              <w:pStyle w:val="Compact"/>
              <w:jc w:val="left"/>
            </w:pPr>
            <w:r>
              <w:rPr>
                <w:bCs/>
                <w:b/>
              </w:rPr>
              <w:t xml:space="preserve">Addleshaw Goddard</w:t>
            </w:r>
          </w:p>
        </w:tc>
        <w:tc>
          <w:tcPr/>
          <w:p>
            <w:pPr>
              <w:pStyle w:val="Compact"/>
              <w:jc w:val="left"/>
            </w:pPr>
            <w:r>
              <w:t xml:space="preserve">London/Leeds</w:t>
            </w:r>
          </w:p>
        </w:tc>
        <w:tc>
          <w:tcPr/>
          <w:p>
            <w:pPr>
              <w:pStyle w:val="Compact"/>
              <w:jc w:val="left"/>
            </w:pPr>
            <w:r>
              <w:t xml:space="preserve">L</w:t>
            </w:r>
          </w:p>
        </w:tc>
        <w:tc>
          <w:tcPr/>
          <w:p>
            <w:pPr>
              <w:pStyle w:val="Compact"/>
              <w:jc w:val="left"/>
            </w:pPr>
            <w:r>
              <w:t xml:space="preserve">PROP (AGPT)</w:t>
            </w:r>
          </w:p>
        </w:tc>
        <w:tc>
          <w:tcPr/>
          <w:p>
            <w:pPr>
              <w:pStyle w:val="Compact"/>
              <w:jc w:val="left"/>
            </w:pPr>
            <w:r>
              <w:t xml:space="preserve">Partial B→B</w:t>
            </w:r>
          </w:p>
        </w:tc>
        <w:tc>
          <w:tcPr/>
          <w:p>
            <w:pPr>
              <w:pStyle w:val="Compact"/>
              <w:jc w:val="left"/>
            </w:pPr>
            <w:r>
              <w:rPr>
                <w:bCs/>
                <w:b/>
              </w:rPr>
              <w:t xml:space="preserve">Built AGPT (95% adoption, 2,000 prompts/day); then adopted Legora to replace unnamed previous GenAI document review tool</w:t>
            </w:r>
          </w:p>
        </w:tc>
      </w:tr>
      <w:tr>
        <w:tc>
          <w:tcPr/>
          <w:p>
            <w:pPr>
              <w:pStyle w:val="Compact"/>
              <w:jc w:val="left"/>
            </w:pPr>
            <w:r>
              <w:rPr>
                <w:bCs/>
                <w:b/>
              </w:rPr>
              <w:t xml:space="preserve">Deloitte Legal</w:t>
            </w:r>
          </w:p>
        </w:tc>
        <w:tc>
          <w:tcPr/>
          <w:p>
            <w:pPr>
              <w:pStyle w:val="Compact"/>
              <w:jc w:val="left"/>
            </w:pPr>
            <w:r>
              <w:t xml:space="preserve">Global</w:t>
            </w:r>
          </w:p>
        </w:tc>
        <w:tc>
          <w:tcPr/>
          <w:p>
            <w:pPr>
              <w:pStyle w:val="Compact"/>
              <w:jc w:val="left"/>
            </w:pPr>
            <w:r>
              <w:t xml:space="preserve">L</w:t>
            </w:r>
          </w:p>
        </w:tc>
        <w:tc>
          <w:tcPr/>
          <w:p>
            <w:pPr>
              <w:pStyle w:val="Compact"/>
              <w:jc w:val="left"/>
            </w:pPr>
            <w:r>
              <w:t xml:space="preserve">—</w:t>
            </w:r>
          </w:p>
        </w:tc>
        <w:tc>
          <w:tcPr/>
          <w:p>
            <w:pPr>
              <w:pStyle w:val="Compact"/>
              <w:jc w:val="left"/>
            </w:pPr>
            <w:r>
              <w:t xml:space="preserve">—</w:t>
            </w:r>
          </w:p>
        </w:tc>
        <w:tc>
          <w:tcPr/>
          <w:p>
            <w:pPr>
              <w:pStyle w:val="Compact"/>
              <w:jc w:val="left"/>
            </w:pPr>
            <w:r>
              <w:t xml:space="preserve">Legora customer; Legora Portal design partner</w:t>
            </w:r>
          </w:p>
        </w:tc>
      </w:tr>
      <w:tr>
        <w:tc>
          <w:tcPr/>
          <w:p>
            <w:pPr>
              <w:pStyle w:val="Compact"/>
              <w:jc w:val="left"/>
            </w:pPr>
            <w:r>
              <w:rPr>
                <w:bCs/>
                <w:b/>
              </w:rPr>
              <w:t xml:space="preserve">Eversheds Sutherland</w:t>
            </w:r>
          </w:p>
        </w:tc>
        <w:tc>
          <w:tcPr/>
          <w:p>
            <w:pPr>
              <w:pStyle w:val="Compact"/>
              <w:jc w:val="left"/>
            </w:pPr>
            <w:r>
              <w:t xml:space="preserve">London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specific public disclosure</w:t>
            </w:r>
          </w:p>
        </w:tc>
      </w:tr>
      <w:tr>
        <w:tc>
          <w:tcPr/>
          <w:p>
            <w:pPr>
              <w:pStyle w:val="Compact"/>
              <w:jc w:val="left"/>
            </w:pPr>
            <w:r>
              <w:rPr>
                <w:bCs/>
                <w:b/>
              </w:rPr>
              <w:t xml:space="preserve">Pinsent Masons</w:t>
            </w:r>
          </w:p>
        </w:tc>
        <w:tc>
          <w:tcPr/>
          <w:p>
            <w:pPr>
              <w:pStyle w:val="Compact"/>
              <w:jc w:val="left"/>
            </w:pPr>
            <w:r>
              <w:t xml:space="preserve">London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Innovation-focused; advocating AI transparency</w:t>
            </w:r>
          </w:p>
        </w:tc>
      </w:tr>
      <w:tr>
        <w:tc>
          <w:tcPr/>
          <w:p>
            <w:pPr>
              <w:pStyle w:val="Compact"/>
              <w:jc w:val="left"/>
            </w:pPr>
            <w:r>
              <w:rPr>
                <w:bCs/>
                <w:b/>
              </w:rPr>
              <w:t xml:space="preserve">MinterEllison</w:t>
            </w:r>
          </w:p>
        </w:tc>
        <w:tc>
          <w:tcPr/>
          <w:p>
            <w:pPr>
              <w:pStyle w:val="Compact"/>
              <w:jc w:val="left"/>
            </w:pPr>
            <w:r>
              <w:t xml:space="preserve">Melbourne</w:t>
            </w:r>
          </w:p>
        </w:tc>
        <w:tc>
          <w:tcPr/>
          <w:p>
            <w:pPr>
              <w:pStyle w:val="Compact"/>
              <w:jc w:val="left"/>
            </w:pPr>
            <w:r>
              <w:t xml:space="preserve">L</w:t>
            </w:r>
          </w:p>
        </w:tc>
        <w:tc>
          <w:tcPr/>
          <w:p>
            <w:pPr>
              <w:pStyle w:val="Compact"/>
              <w:jc w:val="left"/>
            </w:pPr>
            <w:r>
              <w:t xml:space="preserve">PROP (Cortex)</w:t>
            </w:r>
          </w:p>
        </w:tc>
        <w:tc>
          <w:tcPr/>
          <w:p>
            <w:pPr>
              <w:pStyle w:val="Compact"/>
              <w:jc w:val="left"/>
            </w:pPr>
            <w:r>
              <w:t xml:space="preserve">Complementary</w:t>
            </w:r>
          </w:p>
        </w:tc>
        <w:tc>
          <w:tcPr/>
          <w:p>
            <w:pPr>
              <w:pStyle w:val="Compact"/>
              <w:jc w:val="left"/>
            </w:pPr>
            <w:r>
              <w:rPr>
                <w:bCs/>
                <w:b/>
              </w:rPr>
              <w:t xml:space="preserve">Built proprietary</w:t>
            </w:r>
            <w:r>
              <w:rPr>
                <w:bCs/>
                <w:b/>
              </w:rPr>
              <w:t xml:space="preserve"> </w:t>
            </w:r>
            <w:r>
              <w:rPr>
                <w:bCs/>
                <w:b/>
              </w:rPr>
              <w:t xml:space="preserve">“</w:t>
            </w:r>
            <w:r>
              <w:rPr>
                <w:bCs/>
                <w:b/>
              </w:rPr>
              <w:t xml:space="preserve">Cortex</w:t>
            </w:r>
            <w:r>
              <w:rPr>
                <w:bCs/>
                <w:b/>
              </w:rPr>
              <w:t xml:space="preserve">”</w:t>
            </w:r>
            <w:r>
              <w:rPr>
                <w:bCs/>
                <w:b/>
              </w:rPr>
              <w:t xml:space="preserve"> </w:t>
            </w:r>
            <w:r>
              <w:rPr>
                <w:bCs/>
                <w:b/>
              </w:rPr>
              <w:t xml:space="preserve">tool; integrated it WITH Legora for combined capability</w:t>
            </w:r>
          </w:p>
        </w:tc>
      </w:tr>
      <w:tr>
        <w:tc>
          <w:tcPr/>
          <w:p>
            <w:pPr>
              <w:pStyle w:val="Compact"/>
              <w:jc w:val="left"/>
            </w:pPr>
            <w:r>
              <w:rPr>
                <w:bCs/>
                <w:b/>
              </w:rPr>
              <w:t xml:space="preserve">Mannheimer Swartling</w:t>
            </w:r>
          </w:p>
        </w:tc>
        <w:tc>
          <w:tcPr/>
          <w:p>
            <w:pPr>
              <w:pStyle w:val="Compact"/>
              <w:jc w:val="left"/>
            </w:pPr>
            <w:r>
              <w:t xml:space="preserve">Stockholm</w:t>
            </w:r>
          </w:p>
        </w:tc>
        <w:tc>
          <w:tcPr/>
          <w:p>
            <w:pPr>
              <w:pStyle w:val="Compact"/>
              <w:jc w:val="left"/>
            </w:pPr>
            <w:r>
              <w:t xml:space="preserve">L</w:t>
            </w:r>
          </w:p>
        </w:tc>
        <w:tc>
          <w:tcPr/>
          <w:p>
            <w:pPr>
              <w:pStyle w:val="Compact"/>
              <w:jc w:val="left"/>
            </w:pPr>
            <w:r>
              <w:t xml:space="preserve">—</w:t>
            </w:r>
          </w:p>
        </w:tc>
        <w:tc>
          <w:tcPr/>
          <w:p>
            <w:pPr>
              <w:pStyle w:val="Compact"/>
              <w:jc w:val="left"/>
            </w:pPr>
            <w:r>
              <w:t xml:space="preserve">—</w:t>
            </w:r>
          </w:p>
        </w:tc>
        <w:tc>
          <w:tcPr/>
          <w:p>
            <w:pPr>
              <w:pStyle w:val="Compact"/>
              <w:jc w:val="left"/>
            </w:pPr>
            <w:r>
              <w:t xml:space="preserve">Legora Portal design partner</w:t>
            </w:r>
          </w:p>
        </w:tc>
      </w:tr>
      <w:tr>
        <w:tc>
          <w:tcPr/>
          <w:p>
            <w:pPr>
              <w:pStyle w:val="Compact"/>
              <w:jc w:val="left"/>
            </w:pPr>
            <w:r>
              <w:rPr>
                <w:bCs/>
                <w:b/>
              </w:rPr>
              <w:t xml:space="preserve">Cuatrecasas</w:t>
            </w:r>
          </w:p>
        </w:tc>
        <w:tc>
          <w:tcPr/>
          <w:p>
            <w:pPr>
              <w:pStyle w:val="Compact"/>
              <w:jc w:val="left"/>
            </w:pPr>
            <w:r>
              <w:t xml:space="preserve">Barcelona</w:t>
            </w:r>
          </w:p>
        </w:tc>
        <w:tc>
          <w:tcPr/>
          <w:p>
            <w:pPr>
              <w:pStyle w:val="Compact"/>
              <w:jc w:val="left"/>
            </w:pPr>
            <w:r>
              <w:t xml:space="preserve">H</w:t>
            </w:r>
          </w:p>
        </w:tc>
        <w:tc>
          <w:tcPr/>
          <w:p>
            <w:pPr>
              <w:pStyle w:val="Compact"/>
              <w:jc w:val="left"/>
            </w:pPr>
            <w:r>
              <w:t xml:space="preserve">—</w:t>
            </w:r>
          </w:p>
        </w:tc>
        <w:tc>
          <w:tcPr/>
          <w:p>
            <w:pPr>
              <w:pStyle w:val="Compact"/>
              <w:jc w:val="left"/>
            </w:pPr>
            <w:r>
              <w:t xml:space="preserve">—</w:t>
            </w:r>
          </w:p>
        </w:tc>
        <w:tc>
          <w:tcPr/>
          <w:p>
            <w:pPr>
              <w:pStyle w:val="Compact"/>
              <w:jc w:val="left"/>
            </w:pPr>
            <w:r>
              <w:t xml:space="preserve">Rolled out Harvey as</w:t>
            </w:r>
            <w:r>
              <w:t xml:space="preserve"> </w:t>
            </w:r>
            <w:r>
              <w:t xml:space="preserve">“</w:t>
            </w:r>
            <w:r>
              <w:t xml:space="preserve">CelIA</w:t>
            </w:r>
            <w:r>
              <w:t xml:space="preserve">”</w:t>
            </w:r>
            <w:r>
              <w:t xml:space="preserve"> </w:t>
            </w:r>
            <w:r>
              <w:t xml:space="preserve">(Cuatrecasas Expert Legal AI) to 1,200 lawyers</w:t>
            </w:r>
          </w:p>
        </w:tc>
      </w:tr>
      <w:tr>
        <w:tc>
          <w:tcPr/>
          <w:p>
            <w:pPr>
              <w:pStyle w:val="Compact"/>
              <w:jc w:val="left"/>
            </w:pPr>
            <w:r>
              <w:rPr>
                <w:bCs/>
                <w:b/>
              </w:rPr>
              <w:t xml:space="preserve">Pérez-Llorca</w:t>
            </w:r>
          </w:p>
        </w:tc>
        <w:tc>
          <w:tcPr/>
          <w:p>
            <w:pPr>
              <w:pStyle w:val="Compact"/>
              <w:jc w:val="left"/>
            </w:pPr>
            <w:r>
              <w:t xml:space="preserve">Madrid</w:t>
            </w:r>
          </w:p>
        </w:tc>
        <w:tc>
          <w:tcPr/>
          <w:p>
            <w:pPr>
              <w:pStyle w:val="Compact"/>
              <w:jc w:val="left"/>
            </w:pPr>
            <w:r>
              <w:t xml:space="preserve">L</w:t>
            </w:r>
          </w:p>
        </w:tc>
        <w:tc>
          <w:tcPr/>
          <w:p>
            <w:pPr>
              <w:pStyle w:val="Compact"/>
              <w:jc w:val="left"/>
            </w:pPr>
            <w:r>
              <w:t xml:space="preserve">—</w:t>
            </w:r>
          </w:p>
        </w:tc>
        <w:tc>
          <w:tcPr/>
          <w:p>
            <w:pPr>
              <w:pStyle w:val="Compact"/>
              <w:jc w:val="left"/>
            </w:pPr>
            <w:r>
              <w:t xml:space="preserve">—</w:t>
            </w:r>
          </w:p>
        </w:tc>
        <w:tc>
          <w:tcPr/>
          <w:p>
            <w:pPr>
              <w:pStyle w:val="Compact"/>
              <w:jc w:val="left"/>
            </w:pPr>
            <w:r>
              <w:t xml:space="preserve">Strategic Legora agreement for Iberian market AI integration</w:t>
            </w:r>
          </w:p>
        </w:tc>
      </w:tr>
      <w:tr>
        <w:tc>
          <w:tcPr/>
          <w:p>
            <w:pPr>
              <w:pStyle w:val="Compact"/>
              <w:jc w:val="left"/>
            </w:pPr>
            <w:r>
              <w:rPr>
                <w:bCs/>
                <w:b/>
              </w:rPr>
              <w:t xml:space="preserve">Al Tamimi &amp; Company</w:t>
            </w:r>
          </w:p>
        </w:tc>
        <w:tc>
          <w:tcPr/>
          <w:p>
            <w:pPr>
              <w:pStyle w:val="Compact"/>
              <w:jc w:val="left"/>
            </w:pPr>
            <w:r>
              <w:t xml:space="preserve">Dubai</w:t>
            </w:r>
          </w:p>
        </w:tc>
        <w:tc>
          <w:tcPr/>
          <w:p>
            <w:pPr>
              <w:pStyle w:val="Compact"/>
              <w:jc w:val="left"/>
            </w:pPr>
            <w:r>
              <w:t xml:space="preserve">L</w:t>
            </w:r>
          </w:p>
        </w:tc>
        <w:tc>
          <w:tcPr/>
          <w:p>
            <w:pPr>
              <w:pStyle w:val="Compact"/>
              <w:jc w:val="left"/>
            </w:pPr>
            <w:r>
              <w:t xml:space="preserve">—</w:t>
            </w:r>
          </w:p>
        </w:tc>
        <w:tc>
          <w:tcPr/>
          <w:p>
            <w:pPr>
              <w:pStyle w:val="Compact"/>
              <w:jc w:val="left"/>
            </w:pPr>
            <w:r>
              <w:t xml:space="preserve">—</w:t>
            </w:r>
          </w:p>
        </w:tc>
        <w:tc>
          <w:tcPr/>
          <w:p>
            <w:pPr>
              <w:pStyle w:val="Compact"/>
              <w:jc w:val="left"/>
            </w:pPr>
            <w:r>
              <w:t xml:space="preserve">Legora Portal design partner</w:t>
            </w:r>
          </w:p>
        </w:tc>
      </w:tr>
      <w:tr>
        <w:tc>
          <w:tcPr/>
          <w:p>
            <w:pPr>
              <w:pStyle w:val="Compact"/>
              <w:jc w:val="left"/>
            </w:pPr>
            <w:r>
              <w:rPr>
                <w:bCs/>
                <w:b/>
              </w:rPr>
              <w:t xml:space="preserve">TLT</w:t>
            </w:r>
          </w:p>
        </w:tc>
        <w:tc>
          <w:tcPr/>
          <w:p>
            <w:pPr>
              <w:pStyle w:val="Compact"/>
              <w:jc w:val="left"/>
            </w:pPr>
            <w:r>
              <w:t xml:space="preserve">Bristol</w:t>
            </w:r>
          </w:p>
        </w:tc>
        <w:tc>
          <w:tcPr/>
          <w:p>
            <w:pPr>
              <w:pStyle w:val="Compact"/>
              <w:jc w:val="left"/>
            </w:pPr>
            <w:r>
              <w:t xml:space="preserve">L</w:t>
            </w:r>
          </w:p>
        </w:tc>
        <w:tc>
          <w:tcPr/>
          <w:p>
            <w:pPr>
              <w:pStyle w:val="Compact"/>
              <w:jc w:val="left"/>
            </w:pPr>
            <w:r>
              <w:t xml:space="preserve">—</w:t>
            </w:r>
          </w:p>
        </w:tc>
        <w:tc>
          <w:tcPr/>
          <w:p>
            <w:pPr>
              <w:pStyle w:val="Compact"/>
              <w:jc w:val="left"/>
            </w:pPr>
            <w:r>
              <w:t xml:space="preserve">—</w:t>
            </w:r>
          </w:p>
        </w:tc>
        <w:tc>
          <w:tcPr/>
          <w:p>
            <w:pPr>
              <w:pStyle w:val="Compact"/>
              <w:jc w:val="left"/>
            </w:pPr>
            <w:r>
              <w:t xml:space="preserve">Legora Portal design partner</w:t>
            </w:r>
          </w:p>
        </w:tc>
      </w:tr>
      <w:tr>
        <w:tc>
          <w:tcPr/>
          <w:p>
            <w:pPr>
              <w:pStyle w:val="Compact"/>
              <w:jc w:val="left"/>
            </w:pPr>
            <w:r>
              <w:rPr>
                <w:bCs/>
                <w:b/>
              </w:rPr>
              <w:t xml:space="preserve">Schoenherr</w:t>
            </w:r>
          </w:p>
        </w:tc>
        <w:tc>
          <w:tcPr/>
          <w:p>
            <w:pPr>
              <w:pStyle w:val="Compact"/>
              <w:jc w:val="left"/>
            </w:pPr>
            <w:r>
              <w:t xml:space="preserve">Vienna</w:t>
            </w:r>
          </w:p>
        </w:tc>
        <w:tc>
          <w:tcPr/>
          <w:p>
            <w:pPr>
              <w:pStyle w:val="Compact"/>
              <w:jc w:val="left"/>
            </w:pPr>
            <w:r>
              <w:t xml:space="preserve">DJ</w:t>
            </w:r>
          </w:p>
        </w:tc>
        <w:tc>
          <w:tcPr/>
          <w:p>
            <w:pPr>
              <w:pStyle w:val="Compact"/>
              <w:jc w:val="left"/>
            </w:pPr>
            <w:r>
              <w:t xml:space="preserve">—</w:t>
            </w:r>
          </w:p>
        </w:tc>
        <w:tc>
          <w:tcPr/>
          <w:p>
            <w:pPr>
              <w:pStyle w:val="Compact"/>
              <w:jc w:val="left"/>
            </w:pPr>
            <w:r>
              <w:t xml:space="preserve">—</w:t>
            </w:r>
          </w:p>
        </w:tc>
        <w:tc>
          <w:tcPr/>
          <w:p>
            <w:pPr>
              <w:pStyle w:val="Compact"/>
              <w:jc w:val="left"/>
            </w:pPr>
            <w:r>
              <w:t xml:space="preserve">DeepJudge customer; Central/Eastern Europe focus</w:t>
            </w:r>
          </w:p>
        </w:tc>
      </w:tr>
      <w:tr>
        <w:tc>
          <w:tcPr/>
          <w:p>
            <w:pPr>
              <w:pStyle w:val="Compact"/>
              <w:jc w:val="left"/>
            </w:pPr>
            <w:r>
              <w:rPr>
                <w:bCs/>
                <w:b/>
              </w:rPr>
              <w:t xml:space="preserve">Homburger</w:t>
            </w:r>
          </w:p>
        </w:tc>
        <w:tc>
          <w:tcPr/>
          <w:p>
            <w:pPr>
              <w:pStyle w:val="Compact"/>
              <w:jc w:val="left"/>
            </w:pPr>
            <w:r>
              <w:t xml:space="preserve">Zurich</w:t>
            </w:r>
          </w:p>
        </w:tc>
        <w:tc>
          <w:tcPr/>
          <w:p>
            <w:pPr>
              <w:pStyle w:val="Compact"/>
              <w:jc w:val="left"/>
            </w:pPr>
            <w:r>
              <w:t xml:space="preserve">DJ</w:t>
            </w:r>
          </w:p>
        </w:tc>
        <w:tc>
          <w:tcPr/>
          <w:p>
            <w:pPr>
              <w:pStyle w:val="Compact"/>
              <w:jc w:val="left"/>
            </w:pPr>
            <w:r>
              <w:t xml:space="preserve">—</w:t>
            </w:r>
          </w:p>
        </w:tc>
        <w:tc>
          <w:tcPr/>
          <w:p>
            <w:pPr>
              <w:pStyle w:val="Compact"/>
              <w:jc w:val="left"/>
            </w:pPr>
            <w:r>
              <w:t xml:space="preserve">—</w:t>
            </w:r>
          </w:p>
        </w:tc>
        <w:tc>
          <w:tcPr/>
          <w:p>
            <w:pPr>
              <w:pStyle w:val="Compact"/>
              <w:jc w:val="left"/>
            </w:pPr>
            <w:r>
              <w:t xml:space="preserve">DeepJudge customer; 80%+ adoption rate</w:t>
            </w:r>
          </w:p>
        </w:tc>
      </w:tr>
      <w:tr>
        <w:tc>
          <w:tcPr/>
          <w:p>
            <w:pPr>
              <w:pStyle w:val="Compact"/>
              <w:jc w:val="left"/>
            </w:pPr>
            <w:r>
              <w:rPr>
                <w:bCs/>
                <w:b/>
              </w:rPr>
              <w:t xml:space="preserve">Lenz &amp; Staehelin</w:t>
            </w:r>
          </w:p>
        </w:tc>
        <w:tc>
          <w:tcPr/>
          <w:p>
            <w:pPr>
              <w:pStyle w:val="Compact"/>
              <w:jc w:val="left"/>
            </w:pPr>
            <w:r>
              <w:t xml:space="preserve">Zurich</w:t>
            </w:r>
          </w:p>
        </w:tc>
        <w:tc>
          <w:tcPr/>
          <w:p>
            <w:pPr>
              <w:pStyle w:val="Compact"/>
              <w:jc w:val="left"/>
            </w:pPr>
            <w:r>
              <w:t xml:space="preserve">DJ</w:t>
            </w:r>
          </w:p>
        </w:tc>
        <w:tc>
          <w:tcPr/>
          <w:p>
            <w:pPr>
              <w:pStyle w:val="Compact"/>
              <w:jc w:val="left"/>
            </w:pPr>
            <w:r>
              <w:t xml:space="preserve">—</w:t>
            </w:r>
          </w:p>
        </w:tc>
        <w:tc>
          <w:tcPr/>
          <w:p>
            <w:pPr>
              <w:pStyle w:val="Compact"/>
              <w:jc w:val="left"/>
            </w:pPr>
            <w:r>
              <w:t xml:space="preserve">—</w:t>
            </w:r>
          </w:p>
        </w:tc>
        <w:tc>
          <w:tcPr/>
          <w:p>
            <w:pPr>
              <w:pStyle w:val="Compact"/>
              <w:jc w:val="left"/>
            </w:pPr>
            <w:r>
              <w:t xml:space="preserve">DeepJudge customer; 90% adoption rate; helped shape AI Workflows</w:t>
            </w:r>
          </w:p>
        </w:tc>
      </w:tr>
      <w:tr>
        <w:tc>
          <w:tcPr/>
          <w:p>
            <w:pPr>
              <w:pStyle w:val="Compact"/>
              <w:jc w:val="left"/>
            </w:pPr>
            <w:r>
              <w:rPr>
                <w:bCs/>
                <w:b/>
              </w:rPr>
              <w:t xml:space="preserve">Charles Russell Speechlys</w:t>
            </w:r>
          </w:p>
        </w:tc>
        <w:tc>
          <w:tcPr/>
          <w:p>
            <w:pPr>
              <w:pStyle w:val="Compact"/>
              <w:jc w:val="left"/>
            </w:pPr>
            <w:r>
              <w:t xml:space="preserve">London</w:t>
            </w:r>
          </w:p>
        </w:tc>
        <w:tc>
          <w:tcPr/>
          <w:p>
            <w:pPr>
              <w:pStyle w:val="Compact"/>
              <w:jc w:val="left"/>
            </w:pPr>
            <w:r>
              <w:t xml:space="preserve">H</w:t>
            </w:r>
          </w:p>
        </w:tc>
        <w:tc>
          <w:tcPr/>
          <w:p>
            <w:pPr>
              <w:pStyle w:val="Compact"/>
              <w:jc w:val="left"/>
            </w:pPr>
            <w:r>
              <w:t xml:space="preserve">—</w:t>
            </w:r>
          </w:p>
        </w:tc>
        <w:tc>
          <w:tcPr/>
          <w:p>
            <w:pPr>
              <w:pStyle w:val="Compact"/>
              <w:jc w:val="left"/>
            </w:pPr>
            <w:r>
              <w:t xml:space="preserve">—</w:t>
            </w:r>
          </w:p>
        </w:tc>
        <w:tc>
          <w:tcPr/>
          <w:p>
            <w:pPr>
              <w:pStyle w:val="Compact"/>
              <w:jc w:val="left"/>
            </w:pPr>
            <w:r>
              <w:t xml:space="preserve">Harvey customer</w:t>
            </w:r>
          </w:p>
        </w:tc>
      </w:tr>
      <w:tr>
        <w:tc>
          <w:tcPr/>
          <w:p>
            <w:pPr>
              <w:pStyle w:val="Compact"/>
              <w:jc w:val="left"/>
            </w:pPr>
            <w:r>
              <w:rPr>
                <w:bCs/>
                <w:b/>
              </w:rPr>
              <w:t xml:space="preserve">Allens</w:t>
            </w:r>
          </w:p>
        </w:tc>
        <w:tc>
          <w:tcPr/>
          <w:p>
            <w:pPr>
              <w:pStyle w:val="Compact"/>
              <w:jc w:val="left"/>
            </w:pPr>
            <w:r>
              <w:t xml:space="preserve">Melbourne</w:t>
            </w:r>
          </w:p>
        </w:tc>
        <w:tc>
          <w:tcPr/>
          <w:p>
            <w:pPr>
              <w:pStyle w:val="Compact"/>
              <w:jc w:val="left"/>
            </w:pPr>
            <w:r>
              <w:t xml:space="preserve">L</w:t>
            </w:r>
          </w:p>
        </w:tc>
        <w:tc>
          <w:tcPr/>
          <w:p>
            <w:pPr>
              <w:pStyle w:val="Compact"/>
              <w:jc w:val="left"/>
            </w:pPr>
            <w:r>
              <w:t xml:space="preserve">—</w:t>
            </w:r>
          </w:p>
        </w:tc>
        <w:tc>
          <w:tcPr/>
          <w:p>
            <w:pPr>
              <w:pStyle w:val="Compact"/>
              <w:jc w:val="left"/>
            </w:pPr>
            <w:r>
              <w:t xml:space="preserve">—</w:t>
            </w:r>
          </w:p>
        </w:tc>
        <w:tc>
          <w:tcPr/>
          <w:p>
            <w:pPr>
              <w:pStyle w:val="Compact"/>
              <w:jc w:val="left"/>
            </w:pPr>
            <w:r>
              <w:t xml:space="preserve">Legora Portal design partner</w:t>
            </w:r>
          </w:p>
        </w:tc>
      </w:tr>
    </w:tbl>
    <w:p>
      <w:r>
        <w:pict>
          <v:rect style="width:0;height:1.5pt" o:hralign="center" o:hrstd="t" o:hr="t"/>
        </w:pict>
      </w:r>
    </w:p>
    <w:bookmarkEnd w:id="30"/>
    <w:bookmarkEnd w:id="31"/>
    <w:bookmarkStart w:id="38" w:name="Xbd1fd7eef52bf9d0f729adf83c4c076d9287767"/>
    <w:p>
      <w:pPr>
        <w:pStyle w:val="Heading2"/>
      </w:pPr>
      <w:r>
        <w:t xml:space="preserve">4. Firms That Built Proprietary Tools Then Acquired Third-Party Solutions</w:t>
      </w:r>
    </w:p>
    <w:p>
      <w:pPr>
        <w:pStyle w:val="FirstParagraph"/>
      </w:pPr>
      <w:r>
        <w:t xml:space="preserve">This is the most strategically significant trend in legal AI. These firms invested in building their own AI capabilities — typically on Microsoft Azure OpenAI — only to subsequently license third-party legal AI platforms that proved superior for specific complex workflows.</w:t>
      </w:r>
    </w:p>
    <w:bookmarkStart w:id="32" w:name="Xcfdfe6fe3a42849495d4d20807c27b031f289c8"/>
    <w:p>
      <w:pPr>
        <w:pStyle w:val="Heading3"/>
      </w:pPr>
      <w:r>
        <w:t xml:space="preserve">4.1 Linklaters — Built</w:t>
      </w:r>
      <w:r>
        <w:t xml:space="preserve"> </w:t>
      </w:r>
      <w:r>
        <w:t xml:space="preserve">“</w:t>
      </w:r>
      <w:r>
        <w:t xml:space="preserve">Laila,</w:t>
      </w:r>
      <w:r>
        <w:t xml:space="preserve">”</w:t>
      </w:r>
      <w:r>
        <w:t xml:space="preserve"> </w:t>
      </w:r>
      <w:r>
        <w:t xml:space="preserve">Then Adopted Legora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rPr>
                <w:bCs/>
                <w:b/>
              </w:rPr>
              <w:t xml:space="preserve">Proprietary Tool</w:t>
            </w:r>
          </w:p>
        </w:tc>
        <w:tc>
          <w:tcPr/>
          <w:p>
            <w:pPr>
              <w:pStyle w:val="Compact"/>
              <w:jc w:val="left"/>
            </w:pPr>
            <w:r>
              <w:rPr>
                <w:bCs/>
                <w:b/>
              </w:rPr>
              <w:t xml:space="preserve">Laila</w:t>
            </w:r>
            <w:r>
              <w:t xml:space="preserve"> </w:t>
            </w:r>
            <w:r>
              <w:t xml:space="preserve">— GenAI chatbot built on Microsoft Azure OpenAI</w:t>
            </w:r>
          </w:p>
        </w:tc>
      </w:tr>
      <w:tr>
        <w:tc>
          <w:tcPr/>
          <w:p>
            <w:pPr>
              <w:pStyle w:val="Compact"/>
              <w:jc w:val="left"/>
            </w:pPr>
            <w:r>
              <w:rPr>
                <w:bCs/>
                <w:b/>
              </w:rPr>
              <w:t xml:space="preserve">Usage</w:t>
            </w:r>
          </w:p>
        </w:tc>
        <w:tc>
          <w:tcPr/>
          <w:p>
            <w:pPr>
              <w:pStyle w:val="Compact"/>
              <w:jc w:val="left"/>
            </w:pPr>
            <w:r>
              <w:t xml:space="preserve">200,000+ uses per month across the firm</w:t>
            </w:r>
          </w:p>
        </w:tc>
      </w:tr>
      <w:tr>
        <w:tc>
          <w:tcPr/>
          <w:p>
            <w:pPr>
              <w:pStyle w:val="Compact"/>
              <w:jc w:val="left"/>
            </w:pPr>
            <w:r>
              <w:rPr>
                <w:bCs/>
                <w:b/>
              </w:rPr>
              <w:t xml:space="preserve">Third-Party Acquired</w:t>
            </w:r>
          </w:p>
        </w:tc>
        <w:tc>
          <w:tcPr/>
          <w:p>
            <w:pPr>
              <w:pStyle w:val="Compact"/>
              <w:jc w:val="left"/>
            </w:pPr>
            <w:r>
              <w:rPr>
                <w:bCs/>
                <w:b/>
              </w:rPr>
              <w:t xml:space="preserve">Legora</w:t>
            </w:r>
            <w:r>
              <w:t xml:space="preserve"> </w:t>
            </w:r>
            <w:r>
              <w:t xml:space="preserve">— firmwide rollout across all 30 global offices (Sep 2025)</w:t>
            </w:r>
          </w:p>
        </w:tc>
      </w:tr>
      <w:tr>
        <w:tc>
          <w:tcPr/>
          <w:p>
            <w:pPr>
              <w:pStyle w:val="Compact"/>
              <w:jc w:val="left"/>
            </w:pPr>
            <w:r>
              <w:rPr>
                <w:bCs/>
                <w:b/>
              </w:rPr>
              <w:t xml:space="preserve">Why the Switch?</w:t>
            </w:r>
          </w:p>
        </w:tc>
        <w:tc>
          <w:tcPr/>
          <w:p>
            <w:pPr>
              <w:pStyle w:val="Compact"/>
              <w:jc w:val="left"/>
            </w:pPr>
            <w:r>
              <w:t xml:space="preserve">Feedback showed Legora handles larger documents and larger document sets better; praise for tabular review feature used in due diligence</w:t>
            </w:r>
          </w:p>
        </w:tc>
      </w:tr>
      <w:tr>
        <w:tc>
          <w:tcPr/>
          <w:p>
            <w:pPr>
              <w:pStyle w:val="Compact"/>
              <w:jc w:val="left"/>
            </w:pPr>
            <w:r>
              <w:rPr>
                <w:bCs/>
                <w:b/>
              </w:rPr>
              <w:t xml:space="preserve">Current Status</w:t>
            </w:r>
          </w:p>
        </w:tc>
        <w:tc>
          <w:tcPr/>
          <w:p>
            <w:pPr>
              <w:pStyle w:val="Compact"/>
              <w:jc w:val="left"/>
            </w:pPr>
            <w:r>
              <w:t xml:space="preserve">Laila’s future development is</w:t>
            </w:r>
            <w:r>
              <w:t xml:space="preserve"> </w:t>
            </w:r>
            <w:r>
              <w:t xml:space="preserve">“</w:t>
            </w:r>
            <w:r>
              <w:t xml:space="preserve">under review</w:t>
            </w:r>
            <w:r>
              <w:t xml:space="preserve">”</w:t>
            </w:r>
            <w:r>
              <w:t xml:space="preserve">; Legora now the primary GenAI platform alongside Laila, ReportIQ, and CreateiQ 2.0</w:t>
            </w:r>
          </w:p>
        </w:tc>
      </w:tr>
      <w:tr>
        <w:tc>
          <w:tcPr/>
          <w:p>
            <w:pPr>
              <w:pStyle w:val="Compact"/>
              <w:jc w:val="left"/>
            </w:pPr>
            <w:r>
              <w:rPr>
                <w:bCs/>
                <w:b/>
              </w:rPr>
              <w:t xml:space="preserve">Key Insight</w:t>
            </w:r>
          </w:p>
        </w:tc>
        <w:tc>
          <w:tcPr/>
          <w:p>
            <w:pPr>
              <w:pStyle w:val="Compact"/>
              <w:jc w:val="left"/>
            </w:pPr>
            <w:r>
              <w:t xml:space="preserve">Even a well-adopted proprietary tool (200K monthly uses) was supplemented when a purpose-built legal platform demonstrated superior capabilities for complex tasks</w:t>
            </w:r>
          </w:p>
        </w:tc>
      </w:tr>
    </w:tbl>
    <w:bookmarkEnd w:id="32"/>
    <w:bookmarkStart w:id="33" w:name="X790cd6fcdbd6fe902b9a8f88a127923dd18736d"/>
    <w:p>
      <w:pPr>
        <w:pStyle w:val="Heading3"/>
      </w:pPr>
      <w:r>
        <w:t xml:space="preserve">4.2 Dentons — Built</w:t>
      </w:r>
      <w:r>
        <w:t xml:space="preserve"> </w:t>
      </w:r>
      <w:r>
        <w:t xml:space="preserve">“</w:t>
      </w:r>
      <w:r>
        <w:t xml:space="preserve">FleetAI,</w:t>
      </w:r>
      <w:r>
        <w:t xml:space="preserve">”</w:t>
      </w:r>
      <w:r>
        <w:t xml:space="preserve"> </w:t>
      </w:r>
      <w:r>
        <w:t xml:space="preserve">Then Adopted Legora (Europe)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rPr>
                <w:bCs/>
                <w:b/>
              </w:rPr>
              <w:t xml:space="preserve">Proprietary Tool</w:t>
            </w:r>
          </w:p>
        </w:tc>
        <w:tc>
          <w:tcPr/>
          <w:p>
            <w:pPr>
              <w:pStyle w:val="Compact"/>
              <w:jc w:val="left"/>
            </w:pPr>
            <w:r>
              <w:rPr>
                <w:bCs/>
                <w:b/>
              </w:rPr>
              <w:t xml:space="preserve">FleetAI</w:t>
            </w:r>
            <w:r>
              <w:t xml:space="preserve"> </w:t>
            </w:r>
            <w:r>
              <w:t xml:space="preserve">— Secure GPT-4 environment for quick first drafts and legal queries</w:t>
            </w:r>
          </w:p>
        </w:tc>
      </w:tr>
      <w:tr>
        <w:tc>
          <w:tcPr/>
          <w:p>
            <w:pPr>
              <w:pStyle w:val="Compact"/>
              <w:jc w:val="left"/>
            </w:pPr>
            <w:r>
              <w:rPr>
                <w:bCs/>
                <w:b/>
              </w:rPr>
              <w:t xml:space="preserve">Third-Party Acquired</w:t>
            </w:r>
          </w:p>
        </w:tc>
        <w:tc>
          <w:tcPr/>
          <w:p>
            <w:pPr>
              <w:pStyle w:val="Compact"/>
              <w:jc w:val="left"/>
            </w:pPr>
            <w:r>
              <w:rPr>
                <w:bCs/>
                <w:b/>
              </w:rPr>
              <w:t xml:space="preserve">Legora</w:t>
            </w:r>
            <w:r>
              <w:t xml:space="preserve"> </w:t>
            </w:r>
            <w:r>
              <w:t xml:space="preserve">— adopted as strategic AI partner for European operations (Jul 2025)</w:t>
            </w:r>
          </w:p>
        </w:tc>
      </w:tr>
      <w:tr>
        <w:tc>
          <w:tcPr/>
          <w:p>
            <w:pPr>
              <w:pStyle w:val="Compact"/>
              <w:jc w:val="left"/>
            </w:pPr>
            <w:r>
              <w:rPr>
                <w:bCs/>
                <w:b/>
              </w:rPr>
              <w:t xml:space="preserve">Why?</w:t>
            </w:r>
          </w:p>
        </w:tc>
        <w:tc>
          <w:tcPr/>
          <w:p>
            <w:pPr>
              <w:pStyle w:val="Compact"/>
              <w:jc w:val="left"/>
            </w:pPr>
            <w:r>
              <w:t xml:space="preserve">FleetAI served basic chatbot needs; Legora offered more sophisticated document review, workflow automation, and multi-agentic capabilities</w:t>
            </w:r>
          </w:p>
        </w:tc>
      </w:tr>
      <w:tr>
        <w:tc>
          <w:tcPr/>
          <w:p>
            <w:pPr>
              <w:pStyle w:val="Compact"/>
              <w:jc w:val="left"/>
            </w:pPr>
            <w:r>
              <w:rPr>
                <w:bCs/>
                <w:b/>
              </w:rPr>
              <w:t xml:space="preserve">Current Status</w:t>
            </w:r>
          </w:p>
        </w:tc>
        <w:tc>
          <w:tcPr/>
          <w:p>
            <w:pPr>
              <w:pStyle w:val="Compact"/>
              <w:jc w:val="left"/>
            </w:pPr>
            <w:r>
              <w:t xml:space="preserve">Both tools reportedly in use; Legora positioned as the strategic platform</w:t>
            </w:r>
          </w:p>
        </w:tc>
      </w:tr>
    </w:tbl>
    <w:bookmarkEnd w:id="33"/>
    <w:bookmarkStart w:id="34" w:name="X4d57a54cc797b3d5b484e297379cc70b9cded24"/>
    <w:p>
      <w:pPr>
        <w:pStyle w:val="Heading3"/>
      </w:pPr>
      <w:r>
        <w:t xml:space="preserve">4.3 Addleshaw Goddard — Built</w:t>
      </w:r>
      <w:r>
        <w:t xml:space="preserve"> </w:t>
      </w:r>
      <w:r>
        <w:t xml:space="preserve">“</w:t>
      </w:r>
      <w:r>
        <w:t xml:space="preserve">AGPT,</w:t>
      </w:r>
      <w:r>
        <w:t xml:space="preserve">”</w:t>
      </w:r>
      <w:r>
        <w:t xml:space="preserve"> </w:t>
      </w:r>
      <w:r>
        <w:t xml:space="preserve">Then Adopted Legora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rPr>
                <w:bCs/>
                <w:b/>
              </w:rPr>
              <w:t xml:space="preserve">Proprietary Tool</w:t>
            </w:r>
          </w:p>
        </w:tc>
        <w:tc>
          <w:tcPr/>
          <w:p>
            <w:pPr>
              <w:pStyle w:val="Compact"/>
              <w:jc w:val="left"/>
            </w:pPr>
            <w:r>
              <w:rPr>
                <w:bCs/>
                <w:b/>
              </w:rPr>
              <w:t xml:space="preserve">AGPT</w:t>
            </w:r>
            <w:r>
              <w:t xml:space="preserve"> </w:t>
            </w:r>
            <w:r>
              <w:t xml:space="preserve">— internally developed GenAI tool; 95% firm adoption; ~2,000 prompts/day</w:t>
            </w:r>
          </w:p>
        </w:tc>
      </w:tr>
      <w:tr>
        <w:tc>
          <w:tcPr/>
          <w:p>
            <w:pPr>
              <w:pStyle w:val="Compact"/>
              <w:jc w:val="left"/>
            </w:pPr>
            <w:r>
              <w:rPr>
                <w:bCs/>
                <w:b/>
              </w:rPr>
              <w:t xml:space="preserve">Third-Party Acquired</w:t>
            </w:r>
          </w:p>
        </w:tc>
        <w:tc>
          <w:tcPr/>
          <w:p>
            <w:pPr>
              <w:pStyle w:val="Compact"/>
              <w:jc w:val="left"/>
            </w:pPr>
            <w:r>
              <w:rPr>
                <w:bCs/>
                <w:b/>
              </w:rPr>
              <w:t xml:space="preserve">Legora</w:t>
            </w:r>
            <w:r>
              <w:t xml:space="preserve"> </w:t>
            </w:r>
            <w:r>
              <w:t xml:space="preserve">— adopted March 2025, specifically for volume document review</w:t>
            </w:r>
          </w:p>
        </w:tc>
      </w:tr>
      <w:tr>
        <w:tc>
          <w:tcPr/>
          <w:p>
            <w:pPr>
              <w:pStyle w:val="Compact"/>
              <w:jc w:val="left"/>
            </w:pPr>
            <w:r>
              <w:rPr>
                <w:bCs/>
                <w:b/>
              </w:rPr>
              <w:t xml:space="preserve">What It Replaced</w:t>
            </w:r>
          </w:p>
        </w:tc>
        <w:tc>
          <w:tcPr/>
          <w:p>
            <w:pPr>
              <w:pStyle w:val="Compact"/>
              <w:jc w:val="left"/>
            </w:pPr>
            <w:r>
              <w:t xml:space="preserve">Legora replaced an unnamed previous GenAI document review tool (not AGPT)</w:t>
            </w:r>
          </w:p>
        </w:tc>
      </w:tr>
      <w:tr>
        <w:tc>
          <w:tcPr/>
          <w:p>
            <w:pPr>
              <w:pStyle w:val="Compact"/>
              <w:jc w:val="left"/>
            </w:pPr>
            <w:r>
              <w:rPr>
                <w:bCs/>
                <w:b/>
              </w:rPr>
              <w:t xml:space="preserve">Current Status</w:t>
            </w:r>
          </w:p>
        </w:tc>
        <w:tc>
          <w:tcPr/>
          <w:p>
            <w:pPr>
              <w:pStyle w:val="Compact"/>
              <w:jc w:val="left"/>
            </w:pPr>
            <w:r>
              <w:t xml:space="preserve">AGPT continues alongside Legora; AGPT for general prompting, Legora for complex document review and tabular analysis</w:t>
            </w:r>
          </w:p>
        </w:tc>
      </w:tr>
      <w:tr>
        <w:tc>
          <w:tcPr/>
          <w:p>
            <w:pPr>
              <w:pStyle w:val="Compact"/>
              <w:jc w:val="left"/>
            </w:pPr>
            <w:r>
              <w:rPr>
                <w:bCs/>
                <w:b/>
              </w:rPr>
              <w:t xml:space="preserve">Key Insight</w:t>
            </w:r>
          </w:p>
        </w:tc>
        <w:tc>
          <w:tcPr/>
          <w:p>
            <w:pPr>
              <w:pStyle w:val="Compact"/>
              <w:jc w:val="left"/>
            </w:pPr>
            <w:r>
              <w:t xml:space="preserve">Firm maintains proprietary tool for general use while licensing specialist platform for high-volume document work</w:t>
            </w:r>
          </w:p>
        </w:tc>
      </w:tr>
    </w:tbl>
    <w:bookmarkEnd w:id="34"/>
    <w:bookmarkStart w:id="35" w:name="X7595d416e95e85b15f8c349ac7492c8ff1fdcd9"/>
    <w:p>
      <w:pPr>
        <w:pStyle w:val="Heading3"/>
      </w:pPr>
      <w:r>
        <w:t xml:space="preserve">4.4 Freshfields — Google Cloud AI Partnership, Then DeepJudge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rPr>
                <w:bCs/>
                <w:b/>
              </w:rPr>
              <w:t xml:space="preserve">Proprietary Strategy</w:t>
            </w:r>
          </w:p>
        </w:tc>
        <w:tc>
          <w:tcPr/>
          <w:p>
            <w:pPr>
              <w:pStyle w:val="Compact"/>
              <w:jc w:val="left"/>
            </w:pPr>
            <w:r>
              <w:t xml:space="preserve">Deep strategic collaboration with Google Cloud for AI-led digital transformation; developing agentic tools</w:t>
            </w:r>
          </w:p>
        </w:tc>
      </w:tr>
      <w:tr>
        <w:tc>
          <w:tcPr/>
          <w:p>
            <w:pPr>
              <w:pStyle w:val="Compact"/>
              <w:jc w:val="left"/>
            </w:pPr>
            <w:r>
              <w:rPr>
                <w:bCs/>
                <w:b/>
              </w:rPr>
              <w:t xml:space="preserve">Third-Party Acquired</w:t>
            </w:r>
          </w:p>
        </w:tc>
        <w:tc>
          <w:tcPr/>
          <w:p>
            <w:pPr>
              <w:pStyle w:val="Compact"/>
              <w:jc w:val="left"/>
            </w:pPr>
            <w:r>
              <w:rPr>
                <w:bCs/>
                <w:b/>
              </w:rPr>
              <w:t xml:space="preserve">DeepJudge</w:t>
            </w:r>
            <w:r>
              <w:t xml:space="preserve"> </w:t>
            </w:r>
            <w:r>
              <w:t xml:space="preserve">— selected as core component of AI and knowledge strategy after detailed evaluation</w:t>
            </w:r>
          </w:p>
        </w:tc>
      </w:tr>
      <w:tr>
        <w:tc>
          <w:tcPr/>
          <w:p>
            <w:pPr>
              <w:pStyle w:val="Compact"/>
              <w:jc w:val="left"/>
            </w:pPr>
            <w:r>
              <w:rPr>
                <w:bCs/>
                <w:b/>
              </w:rPr>
              <w:t xml:space="preserve">Why?</w:t>
            </w:r>
          </w:p>
        </w:tc>
        <w:tc>
          <w:tcPr/>
          <w:p>
            <w:pPr>
              <w:pStyle w:val="Compact"/>
              <w:jc w:val="left"/>
            </w:pPr>
            <w:r>
              <w:t xml:space="preserve">DeepJudge’s precision enterprise search across internal knowledge bases and public legal data filled a gap that the Google Cloud partnership alone did not address</w:t>
            </w:r>
          </w:p>
        </w:tc>
      </w:tr>
      <w:tr>
        <w:tc>
          <w:tcPr/>
          <w:p>
            <w:pPr>
              <w:pStyle w:val="Compact"/>
              <w:jc w:val="left"/>
            </w:pPr>
            <w:r>
              <w:rPr>
                <w:bCs/>
                <w:b/>
              </w:rPr>
              <w:t xml:space="preserve">Current Status</w:t>
            </w:r>
          </w:p>
        </w:tc>
        <w:tc>
          <w:tcPr/>
          <w:p>
            <w:pPr>
              <w:pStyle w:val="Compact"/>
              <w:jc w:val="left"/>
            </w:pPr>
            <w:r>
              <w:t xml:space="preserve">Both Google Cloud collaboration and DeepJudge in active use</w:t>
            </w:r>
          </w:p>
        </w:tc>
      </w:tr>
    </w:tbl>
    <w:bookmarkEnd w:id="35"/>
    <w:bookmarkStart w:id="36" w:name="X0d357722786d276b2977fdc0258cba52dfb5e3f"/>
    <w:p>
      <w:pPr>
        <w:pStyle w:val="Heading3"/>
      </w:pPr>
      <w:r>
        <w:t xml:space="preserve">4.5 Clifford Chance — Built</w:t>
      </w:r>
      <w:r>
        <w:t xml:space="preserve"> </w:t>
      </w:r>
      <w:r>
        <w:t xml:space="preserve">“</w:t>
      </w:r>
      <w:r>
        <w:t xml:space="preserve">CC Assist,</w:t>
      </w:r>
      <w:r>
        <w:t xml:space="preserve">”</w:t>
      </w:r>
      <w:r>
        <w:t xml:space="preserve"> </w:t>
      </w:r>
      <w:r>
        <w:t xml:space="preserve">Then Multi-Vendor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rPr>
                <w:bCs/>
                <w:b/>
              </w:rPr>
              <w:t xml:space="preserve">Proprietary Tool</w:t>
            </w:r>
          </w:p>
        </w:tc>
        <w:tc>
          <w:tcPr/>
          <w:p>
            <w:pPr>
              <w:pStyle w:val="Compact"/>
              <w:jc w:val="left"/>
            </w:pPr>
            <w:r>
              <w:rPr>
                <w:bCs/>
                <w:b/>
              </w:rPr>
              <w:t xml:space="preserve">Clifford Chance Assist</w:t>
            </w:r>
            <w:r>
              <w:t xml:space="preserve"> </w:t>
            </w:r>
            <w:r>
              <w:t xml:space="preserve">— built on Microsoft Azure OpenAI Service; 60%+ daily adoption by April 2024</w:t>
            </w:r>
          </w:p>
        </w:tc>
      </w:tr>
      <w:tr>
        <w:tc>
          <w:tcPr/>
          <w:p>
            <w:pPr>
              <w:pStyle w:val="Compact"/>
              <w:jc w:val="left"/>
            </w:pPr>
            <w:r>
              <w:rPr>
                <w:bCs/>
                <w:b/>
              </w:rPr>
              <w:t xml:space="preserve">Third-Party Tools</w:t>
            </w:r>
          </w:p>
        </w:tc>
        <w:tc>
          <w:tcPr/>
          <w:p>
            <w:pPr>
              <w:pStyle w:val="Compact"/>
              <w:jc w:val="left"/>
            </w:pPr>
            <w:r>
              <w:t xml:space="preserve">Microsoft Copilot, Kira Systems (M&amp;A contract review — up to 90% time reduction)</w:t>
            </w:r>
          </w:p>
        </w:tc>
      </w:tr>
      <w:tr>
        <w:tc>
          <w:tcPr/>
          <w:p>
            <w:pPr>
              <w:pStyle w:val="Compact"/>
              <w:jc w:val="left"/>
            </w:pPr>
            <w:r>
              <w:rPr>
                <w:bCs/>
                <w:b/>
              </w:rPr>
              <w:t xml:space="preserve">Status</w:t>
            </w:r>
          </w:p>
        </w:tc>
        <w:tc>
          <w:tcPr/>
          <w:p>
            <w:pPr>
              <w:pStyle w:val="Compact"/>
              <w:jc w:val="left"/>
            </w:pPr>
            <w:r>
              <w:t xml:space="preserve">CC Assist remains the primary internal tool; supplemented by specialist third-party tools for specific use cases</w:t>
            </w:r>
          </w:p>
        </w:tc>
      </w:tr>
      <w:tr>
        <w:tc>
          <w:tcPr/>
          <w:p>
            <w:pPr>
              <w:pStyle w:val="Compact"/>
              <w:jc w:val="left"/>
            </w:pPr>
            <w:r>
              <w:rPr>
                <w:bCs/>
                <w:b/>
              </w:rPr>
              <w:t xml:space="preserve">Key Insight</w:t>
            </w:r>
          </w:p>
        </w:tc>
        <w:tc>
          <w:tcPr/>
          <w:p>
            <w:pPr>
              <w:pStyle w:val="Compact"/>
              <w:jc w:val="left"/>
            </w:pPr>
            <w:r>
              <w:t xml:space="preserve">Firm governance approach (AI &amp; Innovation Board, AI Steering Groups, published AI Principles) enables structured multi-vendor adoption</w:t>
            </w:r>
          </w:p>
        </w:tc>
      </w:tr>
    </w:tbl>
    <w:bookmarkEnd w:id="36"/>
    <w:bookmarkStart w:id="37" w:name="Xdb41360a94371b904fc232bfec00bd59787a42e"/>
    <w:p>
      <w:pPr>
        <w:pStyle w:val="Heading3"/>
      </w:pPr>
      <w:r>
        <w:t xml:space="preserve">4.6 MinterEllison — Built</w:t>
      </w:r>
      <w:r>
        <w:t xml:space="preserve"> </w:t>
      </w:r>
      <w:r>
        <w:t xml:space="preserve">“</w:t>
      </w:r>
      <w:r>
        <w:t xml:space="preserve">Cortex,</w:t>
      </w:r>
      <w:r>
        <w:t xml:space="preserve">”</w:t>
      </w:r>
      <w:r>
        <w:t xml:space="preserve"> </w:t>
      </w:r>
      <w:r>
        <w:t xml:space="preserve">Then Integrated With Legora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rPr>
                <w:bCs/>
                <w:b/>
              </w:rPr>
              <w:t xml:space="preserve">Proprietary Tool</w:t>
            </w:r>
          </w:p>
        </w:tc>
        <w:tc>
          <w:tcPr/>
          <w:p>
            <w:pPr>
              <w:pStyle w:val="Compact"/>
              <w:jc w:val="left"/>
            </w:pPr>
            <w:r>
              <w:rPr>
                <w:bCs/>
                <w:b/>
              </w:rPr>
              <w:t xml:space="preserve">Cortex</w:t>
            </w:r>
            <w:r>
              <w:t xml:space="preserve"> </w:t>
            </w:r>
            <w:r>
              <w:t xml:space="preserve">— internally developed AI tool with Australian legal IP</w:t>
            </w:r>
          </w:p>
        </w:tc>
      </w:tr>
      <w:tr>
        <w:tc>
          <w:tcPr/>
          <w:p>
            <w:pPr>
              <w:pStyle w:val="Compact"/>
              <w:jc w:val="left"/>
            </w:pPr>
            <w:r>
              <w:rPr>
                <w:bCs/>
                <w:b/>
              </w:rPr>
              <w:t xml:space="preserve">Third-Party Acquired</w:t>
            </w:r>
          </w:p>
        </w:tc>
        <w:tc>
          <w:tcPr/>
          <w:p>
            <w:pPr>
              <w:pStyle w:val="Compact"/>
              <w:jc w:val="left"/>
            </w:pPr>
            <w:r>
              <w:rPr>
                <w:bCs/>
                <w:b/>
              </w:rPr>
              <w:t xml:space="preserve">Legora</w:t>
            </w:r>
            <w:r>
              <w:t xml:space="preserve"> </w:t>
            </w:r>
            <w:r>
              <w:t xml:space="preserve">— integrated directly with Cortex</w:t>
            </w:r>
          </w:p>
        </w:tc>
      </w:tr>
      <w:tr>
        <w:tc>
          <w:tcPr/>
          <w:p>
            <w:pPr>
              <w:pStyle w:val="Compact"/>
              <w:jc w:val="left"/>
            </w:pPr>
            <w:r>
              <w:rPr>
                <w:bCs/>
                <w:b/>
              </w:rPr>
              <w:t xml:space="preserve">Approach</w:t>
            </w:r>
          </w:p>
        </w:tc>
        <w:tc>
          <w:tcPr/>
          <w:p>
            <w:pPr>
              <w:pStyle w:val="Compact"/>
              <w:jc w:val="left"/>
            </w:pPr>
            <w:r>
              <w:t xml:space="preserve">Rather than replacing Cortex, MinterEllison connected it into Legora for combined capability</w:t>
            </w:r>
          </w:p>
        </w:tc>
      </w:tr>
      <w:tr>
        <w:tc>
          <w:tcPr/>
          <w:p>
            <w:pPr>
              <w:pStyle w:val="Compact"/>
              <w:jc w:val="left"/>
            </w:pPr>
            <w:r>
              <w:rPr>
                <w:bCs/>
                <w:b/>
              </w:rPr>
              <w:t xml:space="preserve">Key Quote</w:t>
            </w:r>
          </w:p>
        </w:tc>
        <w:tc>
          <w:tcPr/>
          <w:p>
            <w:pPr>
              <w:pStyle w:val="Compact"/>
              <w:jc w:val="left"/>
            </w:pPr>
            <w:r>
              <w:t xml:space="preserve">CEO:</w:t>
            </w:r>
            <w:r>
              <w:t xml:space="preserve"> </w:t>
            </w:r>
            <w:r>
              <w:t xml:space="preserve">“</w:t>
            </w:r>
            <w:r>
              <w:t xml:space="preserve">When our people use Cortex and Legora together, we’re delivering a client experience built on our unique Australian-based IP that no other firm in Australia can match</w:t>
            </w:r>
            <w:r>
              <w:t xml:space="preserve">”</w:t>
            </w:r>
          </w:p>
        </w:tc>
      </w:tr>
    </w:tbl>
    <w:p>
      <w:r>
        <w:pict>
          <v:rect style="width:0;height:1.5pt" o:hralign="center" o:hrstd="t" o:hr="t"/>
        </w:pict>
      </w:r>
    </w:p>
    <w:bookmarkEnd w:id="37"/>
    <w:bookmarkEnd w:id="38"/>
    <w:bookmarkStart w:id="39" w:name="firms-with-proprietaryin-house-ai-tools"/>
    <w:p>
      <w:pPr>
        <w:pStyle w:val="Heading2"/>
      </w:pPr>
      <w:r>
        <w:t xml:space="preserve">5. Firms With Proprietary/In-House AI Tools</w:t>
      </w:r>
    </w:p>
    <w:p>
      <w:pPr>
        <w:pStyle w:val="FirstParagraph"/>
      </w:pPr>
      <w:r>
        <w:t xml:space="preserve">These firms have invested in building their own AI platforms, some of which are still used as primary tools:</w:t>
      </w:r>
    </w:p>
    <w:tbl>
      <w:tblPr>
        <w:tblStyle w:val="Table"/>
        <w:tblW w:type="pct" w:w="5000"/>
        <w:tblLook w:firstRow="1" w:lastRow="0" w:firstColumn="0" w:lastColumn="0" w:noHBand="0" w:noVBand="0" w:val="0020"/>
        <w:jc w:val="start"/>
      </w:tblPr>
      <w:tblGrid>
        <w:gridCol w:w="1159"/>
        <w:gridCol w:w="2124"/>
        <w:gridCol w:w="3090"/>
        <w:gridCol w:w="1545"/>
      </w:tblGrid>
      <w:tr>
        <w:trPr>
          <w:tblHeader w:val="true"/>
        </w:trPr>
        <w:tc>
          <w:tcPr/>
          <w:p>
            <w:pPr>
              <w:pStyle w:val="Compact"/>
              <w:jc w:val="left"/>
            </w:pPr>
            <w:r>
              <w:t xml:space="preserve">Firm</w:t>
            </w:r>
          </w:p>
        </w:tc>
        <w:tc>
          <w:tcPr/>
          <w:p>
            <w:pPr>
              <w:pStyle w:val="Compact"/>
              <w:jc w:val="left"/>
            </w:pPr>
            <w:r>
              <w:t xml:space="preserve">Tool Name</w:t>
            </w:r>
          </w:p>
        </w:tc>
        <w:tc>
          <w:tcPr/>
          <w:p>
            <w:pPr>
              <w:pStyle w:val="Compact"/>
              <w:jc w:val="left"/>
            </w:pPr>
            <w:r>
              <w:t xml:space="preserve">Technology Base</w:t>
            </w:r>
          </w:p>
        </w:tc>
        <w:tc>
          <w:tcPr/>
          <w:p>
            <w:pPr>
              <w:pStyle w:val="Compact"/>
              <w:jc w:val="left"/>
            </w:pPr>
            <w:r>
              <w:t xml:space="preserve">Status</w:t>
            </w:r>
          </w:p>
        </w:tc>
      </w:tr>
      <w:tr>
        <w:tc>
          <w:tcPr/>
          <w:p>
            <w:pPr>
              <w:pStyle w:val="Compact"/>
              <w:jc w:val="left"/>
            </w:pPr>
            <w:r>
              <w:rPr>
                <w:bCs/>
                <w:b/>
              </w:rPr>
              <w:t xml:space="preserve">Baker McKenzie</w:t>
            </w:r>
          </w:p>
        </w:tc>
        <w:tc>
          <w:tcPr/>
          <w:p>
            <w:pPr>
              <w:pStyle w:val="Compact"/>
              <w:jc w:val="left"/>
            </w:pPr>
            <w:r>
              <w:t xml:space="preserve">BakerML (unit/platform)</w:t>
            </w:r>
          </w:p>
        </w:tc>
        <w:tc>
          <w:tcPr/>
          <w:p>
            <w:pPr>
              <w:pStyle w:val="Compact"/>
              <w:jc w:val="left"/>
            </w:pPr>
            <w:r>
              <w:t xml:space="preserve">Not disclosed</w:t>
            </w:r>
          </w:p>
        </w:tc>
        <w:tc>
          <w:tcPr/>
          <w:p>
            <w:pPr>
              <w:pStyle w:val="Compact"/>
              <w:jc w:val="left"/>
            </w:pPr>
            <w:r>
              <w:t xml:space="preserve">Active;</w:t>
            </w:r>
            <w:r>
              <w:t xml:space="preserve"> </w:t>
            </w:r>
            <w:r>
              <w:t xml:space="preserve">“</w:t>
            </w:r>
            <w:r>
              <w:t xml:space="preserve">AI Creator</w:t>
            </w:r>
            <w:r>
              <w:t xml:space="preserve">”</w:t>
            </w:r>
            <w:r>
              <w:t xml:space="preserve"> </w:t>
            </w:r>
            <w:r>
              <w:t xml:space="preserve">strategy</w:t>
            </w:r>
          </w:p>
        </w:tc>
      </w:tr>
      <w:tr>
        <w:tc>
          <w:tcPr/>
          <w:p>
            <w:pPr>
              <w:pStyle w:val="Compact"/>
              <w:jc w:val="left"/>
            </w:pPr>
            <w:r>
              <w:rPr>
                <w:bCs/>
                <w:b/>
              </w:rPr>
              <w:t xml:space="preserve">Cooley</w:t>
            </w:r>
          </w:p>
        </w:tc>
        <w:tc>
          <w:tcPr/>
          <w:p>
            <w:pPr>
              <w:pStyle w:val="Compact"/>
              <w:jc w:val="left"/>
            </w:pPr>
            <w:r>
              <w:t xml:space="preserve">Vanilla</w:t>
            </w:r>
          </w:p>
        </w:tc>
        <w:tc>
          <w:tcPr/>
          <w:p>
            <w:pPr>
              <w:pStyle w:val="Compact"/>
              <w:jc w:val="left"/>
            </w:pPr>
            <w:r>
              <w:t xml:space="preserve">Cloud-based AI platform</w:t>
            </w:r>
          </w:p>
        </w:tc>
        <w:tc>
          <w:tcPr/>
          <w:p>
            <w:pPr>
              <w:pStyle w:val="Compact"/>
              <w:jc w:val="left"/>
            </w:pPr>
            <w:r>
              <w:t xml:space="preserve">Active; innovation manifesto published</w:t>
            </w:r>
          </w:p>
        </w:tc>
      </w:tr>
      <w:tr>
        <w:tc>
          <w:tcPr/>
          <w:p>
            <w:pPr>
              <w:pStyle w:val="Compact"/>
              <w:jc w:val="left"/>
            </w:pPr>
            <w:r>
              <w:rPr>
                <w:bCs/>
                <w:b/>
              </w:rPr>
              <w:t xml:space="preserve">Troutman Pepper Locke</w:t>
            </w:r>
          </w:p>
        </w:tc>
        <w:tc>
          <w:tcPr/>
          <w:p>
            <w:pPr>
              <w:pStyle w:val="Compact"/>
              <w:jc w:val="left"/>
            </w:pPr>
            <w:r>
              <w:t xml:space="preserve">Athena</w:t>
            </w:r>
          </w:p>
        </w:tc>
        <w:tc>
          <w:tcPr/>
          <w:p>
            <w:pPr>
              <w:pStyle w:val="Compact"/>
              <w:jc w:val="left"/>
            </w:pPr>
            <w:r>
              <w:t xml:space="preserve">OpenAI GPT-4</w:t>
            </w:r>
          </w:p>
        </w:tc>
        <w:tc>
          <w:tcPr/>
          <w:p>
            <w:pPr>
              <w:pStyle w:val="Compact"/>
              <w:jc w:val="left"/>
            </w:pPr>
            <w:r>
              <w:t xml:space="preserve">Active; 3,000 prompts/day</w:t>
            </w:r>
          </w:p>
        </w:tc>
      </w:tr>
      <w:tr>
        <w:tc>
          <w:tcPr/>
          <w:p>
            <w:pPr>
              <w:pStyle w:val="Compact"/>
              <w:jc w:val="left"/>
            </w:pPr>
            <w:r>
              <w:rPr>
                <w:bCs/>
                <w:b/>
              </w:rPr>
              <w:t xml:space="preserve">Herbert Smith Freehills</w:t>
            </w:r>
          </w:p>
        </w:tc>
        <w:tc>
          <w:tcPr/>
          <w:p>
            <w:pPr>
              <w:pStyle w:val="Compact"/>
              <w:jc w:val="left"/>
            </w:pPr>
            <w:r>
              <w:t xml:space="preserve">HSF AI Tracker + proprietary ecosystem</w:t>
            </w:r>
          </w:p>
        </w:tc>
        <w:tc>
          <w:tcPr/>
          <w:p>
            <w:pPr>
              <w:pStyle w:val="Compact"/>
              <w:jc w:val="left"/>
            </w:pPr>
            <w:r>
              <w:t xml:space="preserve">Not disclosed</w:t>
            </w:r>
          </w:p>
        </w:tc>
        <w:tc>
          <w:tcPr/>
          <w:p>
            <w:pPr>
              <w:pStyle w:val="Compact"/>
              <w:jc w:val="left"/>
            </w:pPr>
            <w:r>
              <w:t xml:space="preserve">Active; deliberate</w:t>
            </w:r>
            <w:r>
              <w:t xml:space="preserve"> </w:t>
            </w:r>
            <w:r>
              <w:t xml:space="preserve">“</w:t>
            </w:r>
            <w:r>
              <w:t xml:space="preserve">build</w:t>
            </w:r>
            <w:r>
              <w:t xml:space="preserve">”</w:t>
            </w:r>
            <w:r>
              <w:t xml:space="preserve"> </w:t>
            </w:r>
            <w:r>
              <w:t xml:space="preserve">strategy; cited as merger draw for Kramer Levin</w:t>
            </w:r>
          </w:p>
        </w:tc>
      </w:tr>
      <w:tr>
        <w:tc>
          <w:tcPr/>
          <w:p>
            <w:pPr>
              <w:pStyle w:val="Compact"/>
              <w:jc w:val="left"/>
            </w:pPr>
            <w:r>
              <w:rPr>
                <w:bCs/>
                <w:b/>
              </w:rPr>
              <w:t xml:space="preserve">A&amp;O Shearman</w:t>
            </w:r>
          </w:p>
        </w:tc>
        <w:tc>
          <w:tcPr/>
          <w:p>
            <w:pPr>
              <w:pStyle w:val="Compact"/>
              <w:jc w:val="left"/>
            </w:pPr>
            <w:r>
              <w:t xml:space="preserve">ContractMatrix</w:t>
            </w:r>
          </w:p>
        </w:tc>
        <w:tc>
          <w:tcPr/>
          <w:p>
            <w:pPr>
              <w:pStyle w:val="Compact"/>
              <w:jc w:val="left"/>
            </w:pPr>
            <w:r>
              <w:t xml:space="preserve">Co-developed with Microsoft/Harvey</w:t>
            </w:r>
          </w:p>
        </w:tc>
        <w:tc>
          <w:tcPr/>
          <w:p>
            <w:pPr>
              <w:pStyle w:val="Compact"/>
              <w:jc w:val="left"/>
            </w:pPr>
            <w:r>
              <w:t xml:space="preserve">Active; also productised for clients</w:t>
            </w:r>
          </w:p>
        </w:tc>
      </w:tr>
      <w:tr>
        <w:tc>
          <w:tcPr/>
          <w:p>
            <w:pPr>
              <w:pStyle w:val="Compact"/>
              <w:jc w:val="left"/>
            </w:pPr>
            <w:r>
              <w:rPr>
                <w:bCs/>
                <w:b/>
              </w:rPr>
              <w:t xml:space="preserve">Seyfarth Shaw</w:t>
            </w:r>
          </w:p>
        </w:tc>
        <w:tc>
          <w:tcPr/>
          <w:p>
            <w:pPr>
              <w:pStyle w:val="Compact"/>
              <w:jc w:val="left"/>
            </w:pPr>
            <w:r>
              <w:t xml:space="preserve">SeyfarthLean (methodology + tools)</w:t>
            </w:r>
          </w:p>
        </w:tc>
        <w:tc>
          <w:tcPr/>
          <w:p>
            <w:pPr>
              <w:pStyle w:val="Compact"/>
              <w:jc w:val="left"/>
            </w:pPr>
            <w:r>
              <w:t xml:space="preserve">Various</w:t>
            </w:r>
          </w:p>
        </w:tc>
        <w:tc>
          <w:tcPr/>
          <w:p>
            <w:pPr>
              <w:pStyle w:val="Compact"/>
              <w:jc w:val="left"/>
            </w:pPr>
            <w:r>
              <w:t xml:space="preserve">Active; long history of process innovation</w:t>
            </w:r>
          </w:p>
        </w:tc>
      </w:tr>
      <w:tr>
        <w:tc>
          <w:tcPr/>
          <w:p>
            <w:pPr>
              <w:pStyle w:val="Compact"/>
              <w:jc w:val="left"/>
            </w:pPr>
            <w:r>
              <w:rPr>
                <w:bCs/>
                <w:b/>
              </w:rPr>
              <w:t xml:space="preserve">Latham &amp; Watkins</w:t>
            </w:r>
          </w:p>
        </w:tc>
        <w:tc>
          <w:tcPr/>
          <w:p>
            <w:pPr>
              <w:pStyle w:val="Compact"/>
              <w:jc w:val="left"/>
            </w:pPr>
            <w:r>
              <w:t xml:space="preserve">8-K Trigger Analysis Tool</w:t>
            </w:r>
          </w:p>
        </w:tc>
        <w:tc>
          <w:tcPr/>
          <w:p>
            <w:pPr>
              <w:pStyle w:val="Compact"/>
              <w:jc w:val="left"/>
            </w:pPr>
            <w:r>
              <w:t xml:space="preserve">Proprietary</w:t>
            </w:r>
          </w:p>
        </w:tc>
        <w:tc>
          <w:tcPr/>
          <w:p>
            <w:pPr>
              <w:pStyle w:val="Compact"/>
              <w:jc w:val="left"/>
            </w:pPr>
            <w:r>
              <w:t xml:space="preserve">Active; won FT Innovative Lawyers award</w:t>
            </w:r>
          </w:p>
        </w:tc>
      </w:tr>
      <w:tr>
        <w:tc>
          <w:tcPr/>
          <w:p>
            <w:pPr>
              <w:pStyle w:val="Compact"/>
              <w:jc w:val="left"/>
            </w:pPr>
            <w:r>
              <w:rPr>
                <w:bCs/>
                <w:b/>
              </w:rPr>
              <w:t xml:space="preserve">Addleshaw Goddard</w:t>
            </w:r>
          </w:p>
        </w:tc>
        <w:tc>
          <w:tcPr/>
          <w:p>
            <w:pPr>
              <w:pStyle w:val="Compact"/>
              <w:jc w:val="left"/>
            </w:pPr>
            <w:r>
              <w:t xml:space="preserve">AGPT</w:t>
            </w:r>
          </w:p>
        </w:tc>
        <w:tc>
          <w:tcPr/>
          <w:p>
            <w:pPr>
              <w:pStyle w:val="Compact"/>
              <w:jc w:val="left"/>
            </w:pPr>
            <w:r>
              <w:t xml:space="preserve">Not disclosed</w:t>
            </w:r>
          </w:p>
        </w:tc>
        <w:tc>
          <w:tcPr/>
          <w:p>
            <w:pPr>
              <w:pStyle w:val="Compact"/>
              <w:jc w:val="left"/>
            </w:pPr>
            <w:r>
              <w:t xml:space="preserve">Active; 95% adoption alongside Legora</w:t>
            </w:r>
          </w:p>
        </w:tc>
      </w:tr>
      <w:tr>
        <w:tc>
          <w:tcPr/>
          <w:p>
            <w:pPr>
              <w:pStyle w:val="Compact"/>
              <w:jc w:val="left"/>
            </w:pPr>
            <w:r>
              <w:rPr>
                <w:bCs/>
                <w:b/>
              </w:rPr>
              <w:t xml:space="preserve">Linklaters</w:t>
            </w:r>
          </w:p>
        </w:tc>
        <w:tc>
          <w:tcPr/>
          <w:p>
            <w:pPr>
              <w:pStyle w:val="Compact"/>
              <w:jc w:val="left"/>
            </w:pPr>
            <w:r>
              <w:t xml:space="preserve">Laila, Nakhoda, CreateiQ 2.0</w:t>
            </w:r>
          </w:p>
        </w:tc>
        <w:tc>
          <w:tcPr/>
          <w:p>
            <w:pPr>
              <w:pStyle w:val="Compact"/>
              <w:jc w:val="left"/>
            </w:pPr>
            <w:r>
              <w:t xml:space="preserve">Azure OpenAI</w:t>
            </w:r>
          </w:p>
        </w:tc>
        <w:tc>
          <w:tcPr/>
          <w:p>
            <w:pPr>
              <w:pStyle w:val="Compact"/>
              <w:jc w:val="left"/>
            </w:pPr>
            <w:r>
              <w:t xml:space="preserve">Laila future</w:t>
            </w:r>
            <w:r>
              <w:t xml:space="preserve"> </w:t>
            </w:r>
            <w:r>
              <w:t xml:space="preserve">“</w:t>
            </w:r>
            <w:r>
              <w:t xml:space="preserve">under review</w:t>
            </w:r>
            <w:r>
              <w:t xml:space="preserve">”</w:t>
            </w:r>
            <w:r>
              <w:t xml:space="preserve"> </w:t>
            </w:r>
            <w:r>
              <w:t xml:space="preserve">post-Legora adoption</w:t>
            </w:r>
          </w:p>
        </w:tc>
      </w:tr>
      <w:tr>
        <w:tc>
          <w:tcPr/>
          <w:p>
            <w:pPr>
              <w:pStyle w:val="Compact"/>
              <w:jc w:val="left"/>
            </w:pPr>
            <w:r>
              <w:rPr>
                <w:bCs/>
                <w:b/>
              </w:rPr>
              <w:t xml:space="preserve">Clifford Chance</w:t>
            </w:r>
          </w:p>
        </w:tc>
        <w:tc>
          <w:tcPr/>
          <w:p>
            <w:pPr>
              <w:pStyle w:val="Compact"/>
              <w:jc w:val="left"/>
            </w:pPr>
            <w:r>
              <w:t xml:space="preserve">CC Assist</w:t>
            </w:r>
          </w:p>
        </w:tc>
        <w:tc>
          <w:tcPr/>
          <w:p>
            <w:pPr>
              <w:pStyle w:val="Compact"/>
              <w:jc w:val="left"/>
            </w:pPr>
            <w:r>
              <w:t xml:space="preserve">Azure OpenAI + MS Copilot</w:t>
            </w:r>
          </w:p>
        </w:tc>
        <w:tc>
          <w:tcPr/>
          <w:p>
            <w:pPr>
              <w:pStyle w:val="Compact"/>
              <w:jc w:val="left"/>
            </w:pPr>
            <w:r>
              <w:t xml:space="preserve">Active; 60%+ daily adoption</w:t>
            </w:r>
          </w:p>
        </w:tc>
      </w:tr>
      <w:tr>
        <w:tc>
          <w:tcPr/>
          <w:p>
            <w:pPr>
              <w:pStyle w:val="Compact"/>
              <w:jc w:val="left"/>
            </w:pPr>
            <w:r>
              <w:rPr>
                <w:bCs/>
                <w:b/>
              </w:rPr>
              <w:t xml:space="preserve">Dentons</w:t>
            </w:r>
          </w:p>
        </w:tc>
        <w:tc>
          <w:tcPr/>
          <w:p>
            <w:pPr>
              <w:pStyle w:val="Compact"/>
              <w:jc w:val="left"/>
            </w:pPr>
            <w:r>
              <w:t xml:space="preserve">FleetAI</w:t>
            </w:r>
          </w:p>
        </w:tc>
        <w:tc>
          <w:tcPr/>
          <w:p>
            <w:pPr>
              <w:pStyle w:val="Compact"/>
              <w:jc w:val="left"/>
            </w:pPr>
            <w:r>
              <w:t xml:space="preserve">GPT-4 (secure environment)</w:t>
            </w:r>
          </w:p>
        </w:tc>
        <w:tc>
          <w:tcPr/>
          <w:p>
            <w:pPr>
              <w:pStyle w:val="Compact"/>
              <w:jc w:val="left"/>
            </w:pPr>
            <w:r>
              <w:t xml:space="preserve">Active alongside Legora</w:t>
            </w:r>
          </w:p>
        </w:tc>
      </w:tr>
      <w:tr>
        <w:tc>
          <w:tcPr/>
          <w:p>
            <w:pPr>
              <w:pStyle w:val="Compact"/>
              <w:jc w:val="left"/>
            </w:pPr>
            <w:r>
              <w:rPr>
                <w:bCs/>
                <w:b/>
              </w:rPr>
              <w:t xml:space="preserve">MinterEllison</w:t>
            </w:r>
          </w:p>
        </w:tc>
        <w:tc>
          <w:tcPr/>
          <w:p>
            <w:pPr>
              <w:pStyle w:val="Compact"/>
              <w:jc w:val="left"/>
            </w:pPr>
            <w:r>
              <w:t xml:space="preserve">Cortex</w:t>
            </w:r>
          </w:p>
        </w:tc>
        <w:tc>
          <w:tcPr/>
          <w:p>
            <w:pPr>
              <w:pStyle w:val="Compact"/>
              <w:jc w:val="left"/>
            </w:pPr>
            <w:r>
              <w:t xml:space="preserve">Not disclosed</w:t>
            </w:r>
          </w:p>
        </w:tc>
        <w:tc>
          <w:tcPr/>
          <w:p>
            <w:pPr>
              <w:pStyle w:val="Compact"/>
              <w:jc w:val="left"/>
            </w:pPr>
            <w:r>
              <w:t xml:space="preserve">Active; integrated with Legora</w:t>
            </w:r>
          </w:p>
        </w:tc>
      </w:tr>
      <w:tr>
        <w:tc>
          <w:tcPr/>
          <w:p>
            <w:pPr>
              <w:pStyle w:val="Compact"/>
              <w:jc w:val="left"/>
            </w:pPr>
            <w:r>
              <w:rPr>
                <w:bCs/>
                <w:b/>
              </w:rPr>
              <w:t xml:space="preserve">Cuatrecasas</w:t>
            </w:r>
          </w:p>
        </w:tc>
        <w:tc>
          <w:tcPr/>
          <w:p>
            <w:pPr>
              <w:pStyle w:val="Compact"/>
              <w:jc w:val="left"/>
            </w:pPr>
            <w:r>
              <w:t xml:space="preserve">CelIA</w:t>
            </w:r>
          </w:p>
        </w:tc>
        <w:tc>
          <w:tcPr/>
          <w:p>
            <w:pPr>
              <w:pStyle w:val="Compact"/>
              <w:jc w:val="left"/>
            </w:pPr>
            <w:r>
              <w:t xml:space="preserve">Harvey (white-labelled)</w:t>
            </w:r>
          </w:p>
        </w:tc>
        <w:tc>
          <w:tcPr/>
          <w:p>
            <w:pPr>
              <w:pStyle w:val="Compact"/>
              <w:jc w:val="left"/>
            </w:pPr>
            <w:r>
              <w:t xml:space="preserve">Active; Harvey rebranded for firm use</w:t>
            </w:r>
          </w:p>
        </w:tc>
      </w:tr>
    </w:tbl>
    <w:p>
      <w:r>
        <w:pict>
          <v:rect style="width:0;height:1.5pt" o:hralign="center" o:hrstd="t" o:hr="t"/>
        </w:pict>
      </w:r>
    </w:p>
    <w:bookmarkEnd w:id="39"/>
    <w:bookmarkStart w:id="44" w:name="firms-using-third-party-legal-ai-tools"/>
    <w:p>
      <w:pPr>
        <w:pStyle w:val="Heading2"/>
      </w:pPr>
      <w:r>
        <w:t xml:space="preserve">6. Firms Using Third-Party Legal AI Tools</w:t>
      </w:r>
    </w:p>
    <w:bookmarkStart w:id="40" w:name="harvey-customers-publicly-confirmed"/>
    <w:p>
      <w:pPr>
        <w:pStyle w:val="Heading3"/>
      </w:pPr>
      <w:r>
        <w:t xml:space="preserve">6.1 Harvey Customers (Publicly Confirmed)</w:t>
      </w:r>
    </w:p>
    <w:tbl>
      <w:tblPr>
        <w:tblStyle w:val="Table"/>
        <w:tblW w:type="pct" w:w="5000"/>
        <w:tblLook w:firstRow="1" w:lastRow="0" w:firstColumn="0" w:lastColumn="0" w:noHBand="0" w:noVBand="0" w:val="0020"/>
        <w:jc w:val="start"/>
      </w:tblPr>
      <w:tblGrid>
        <w:gridCol w:w="2262"/>
        <w:gridCol w:w="5657"/>
      </w:tblGrid>
      <w:tr>
        <w:trPr>
          <w:tblHeader w:val="true"/>
        </w:trPr>
        <w:tc>
          <w:tcPr/>
          <w:p>
            <w:pPr>
              <w:pStyle w:val="Compact"/>
              <w:jc w:val="left"/>
            </w:pPr>
            <w:r>
              <w:t xml:space="preserve">Firm</w:t>
            </w:r>
          </w:p>
        </w:tc>
        <w:tc>
          <w:tcPr/>
          <w:p>
            <w:pPr>
              <w:pStyle w:val="Compact"/>
              <w:jc w:val="left"/>
            </w:pPr>
            <w:r>
              <w:t xml:space="preserve">Rollout Detail</w:t>
            </w:r>
          </w:p>
        </w:tc>
      </w:tr>
      <w:tr>
        <w:tc>
          <w:tcPr/>
          <w:p>
            <w:pPr>
              <w:pStyle w:val="Compact"/>
              <w:jc w:val="left"/>
            </w:pPr>
            <w:r>
              <w:t xml:space="preserve">A&amp;O Shearman</w:t>
            </w:r>
          </w:p>
        </w:tc>
        <w:tc>
          <w:tcPr/>
          <w:p>
            <w:pPr>
              <w:pStyle w:val="Compact"/>
              <w:jc w:val="left"/>
            </w:pPr>
            <w:r>
              <w:t xml:space="preserve">First major customer (2023); 3,500+ lawyers; co-development partnership</w:t>
            </w:r>
          </w:p>
        </w:tc>
      </w:tr>
      <w:tr>
        <w:tc>
          <w:tcPr/>
          <w:p>
            <w:pPr>
              <w:pStyle w:val="Compact"/>
              <w:jc w:val="left"/>
            </w:pPr>
            <w:r>
              <w:t xml:space="preserve">Ashurst</w:t>
            </w:r>
          </w:p>
        </w:tc>
        <w:tc>
          <w:tcPr/>
          <w:p>
            <w:pPr>
              <w:pStyle w:val="Compact"/>
              <w:jc w:val="left"/>
            </w:pPr>
            <w:r>
              <w:t xml:space="preserve">First global firm to roll out across all offices simultaneously (2024)</w:t>
            </w:r>
          </w:p>
        </w:tc>
      </w:tr>
      <w:tr>
        <w:tc>
          <w:tcPr/>
          <w:p>
            <w:pPr>
              <w:pStyle w:val="Compact"/>
              <w:jc w:val="left"/>
            </w:pPr>
            <w:r>
              <w:t xml:space="preserve">CMS</w:t>
            </w:r>
          </w:p>
        </w:tc>
        <w:tc>
          <w:tcPr/>
          <w:p>
            <w:pPr>
              <w:pStyle w:val="Compact"/>
              <w:jc w:val="left"/>
            </w:pPr>
            <w:r>
              <w:t xml:space="preserve">Largest EMEA rollout by seats; firmwide across 50+ countries</w:t>
            </w:r>
          </w:p>
        </w:tc>
      </w:tr>
      <w:tr>
        <w:tc>
          <w:tcPr/>
          <w:p>
            <w:pPr>
              <w:pStyle w:val="Compact"/>
              <w:jc w:val="left"/>
            </w:pPr>
            <w:r>
              <w:t xml:space="preserve">Latham &amp; Watkins</w:t>
            </w:r>
          </w:p>
        </w:tc>
        <w:tc>
          <w:tcPr/>
          <w:p>
            <w:pPr>
              <w:pStyle w:val="Compact"/>
              <w:jc w:val="left"/>
            </w:pPr>
            <w:r>
              <w:t xml:space="preserve">Adopted 2025</w:t>
            </w:r>
          </w:p>
        </w:tc>
      </w:tr>
      <w:tr>
        <w:tc>
          <w:tcPr/>
          <w:p>
            <w:pPr>
              <w:pStyle w:val="Compact"/>
              <w:jc w:val="left"/>
            </w:pPr>
            <w:r>
              <w:t xml:space="preserve">Paul, Weiss</w:t>
            </w:r>
          </w:p>
        </w:tc>
        <w:tc>
          <w:tcPr/>
          <w:p>
            <w:pPr>
              <w:pStyle w:val="Compact"/>
              <w:jc w:val="left"/>
            </w:pPr>
            <w:r>
              <w:t xml:space="preserve">Named customer</w:t>
            </w:r>
          </w:p>
        </w:tc>
      </w:tr>
      <w:tr>
        <w:tc>
          <w:tcPr/>
          <w:p>
            <w:pPr>
              <w:pStyle w:val="Compact"/>
              <w:jc w:val="left"/>
            </w:pPr>
            <w:r>
              <w:t xml:space="preserve">Honigman</w:t>
            </w:r>
          </w:p>
        </w:tc>
        <w:tc>
          <w:tcPr/>
          <w:p>
            <w:pPr>
              <w:pStyle w:val="Compact"/>
              <w:jc w:val="left"/>
            </w:pPr>
            <w:r>
              <w:t xml:space="preserve">Publicly announced integration</w:t>
            </w:r>
          </w:p>
        </w:tc>
      </w:tr>
      <w:tr>
        <w:tc>
          <w:tcPr/>
          <w:p>
            <w:pPr>
              <w:pStyle w:val="Compact"/>
              <w:jc w:val="left"/>
            </w:pPr>
            <w:r>
              <w:t xml:space="preserve">Cuatrecasas</w:t>
            </w:r>
          </w:p>
        </w:tc>
        <w:tc>
          <w:tcPr/>
          <w:p>
            <w:pPr>
              <w:pStyle w:val="Compact"/>
              <w:jc w:val="left"/>
            </w:pPr>
            <w:r>
              <w:t xml:space="preserve">Rolled out as</w:t>
            </w:r>
            <w:r>
              <w:t xml:space="preserve"> </w:t>
            </w:r>
            <w:r>
              <w:t xml:space="preserve">“</w:t>
            </w:r>
            <w:r>
              <w:t xml:space="preserve">CelIA</w:t>
            </w:r>
            <w:r>
              <w:t xml:space="preserve">”</w:t>
            </w:r>
            <w:r>
              <w:t xml:space="preserve"> </w:t>
            </w:r>
            <w:r>
              <w:t xml:space="preserve">to 1,200 lawyers</w:t>
            </w:r>
          </w:p>
        </w:tc>
      </w:tr>
      <w:tr>
        <w:tc>
          <w:tcPr/>
          <w:p>
            <w:pPr>
              <w:pStyle w:val="Compact"/>
              <w:jc w:val="left"/>
            </w:pPr>
            <w:r>
              <w:t xml:space="preserve">Charles Russell Speechlys</w:t>
            </w:r>
          </w:p>
        </w:tc>
        <w:tc>
          <w:tcPr/>
          <w:p>
            <w:pPr>
              <w:pStyle w:val="Compact"/>
              <w:jc w:val="left"/>
            </w:pPr>
            <w:r>
              <w:t xml:space="preserve">Adopted 2025</w:t>
            </w:r>
          </w:p>
        </w:tc>
      </w:tr>
    </w:tbl>
    <w:p>
      <w:pPr>
        <w:pStyle w:val="BodyText"/>
      </w:pPr>
      <w:r>
        <w:rPr>
          <w:iCs/>
          <w:i/>
        </w:rPr>
        <w:t xml:space="preserve">Note: Harvey claims a</w:t>
      </w:r>
      <w:r>
        <w:rPr>
          <w:iCs/>
          <w:i/>
        </w:rPr>
        <w:t xml:space="preserve"> </w:t>
      </w:r>
      <w:r>
        <w:rPr>
          <w:iCs/>
          <w:i/>
        </w:rPr>
        <w:t xml:space="preserve">“</w:t>
      </w:r>
      <w:r>
        <w:rPr>
          <w:iCs/>
          <w:i/>
        </w:rPr>
        <w:t xml:space="preserve">majority of Am Law 100 firms</w:t>
      </w:r>
      <w:r>
        <w:rPr>
          <w:iCs/>
          <w:i/>
        </w:rPr>
        <w:t xml:space="preserve">”</w:t>
      </w:r>
      <w:r>
        <w:rPr>
          <w:iCs/>
          <w:i/>
        </w:rPr>
        <w:t xml:space="preserve"> </w:t>
      </w:r>
      <w:r>
        <w:rPr>
          <w:iCs/>
          <w:i/>
        </w:rPr>
        <w:t xml:space="preserve">as customers. The above are publicly confirmed. Many more firms are likely Harvey users but have not made public announcements.</w:t>
      </w:r>
    </w:p>
    <w:bookmarkEnd w:id="40"/>
    <w:bookmarkStart w:id="41" w:name="legora-customers-publicly-confirmed"/>
    <w:p>
      <w:pPr>
        <w:pStyle w:val="Heading3"/>
      </w:pPr>
      <w:r>
        <w:t xml:space="preserve">6.2 Legora Customers (Publicly Confirmed)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Firm</w:t>
            </w:r>
          </w:p>
        </w:tc>
        <w:tc>
          <w:tcPr/>
          <w:p>
            <w:pPr>
              <w:pStyle w:val="Compact"/>
              <w:jc w:val="left"/>
            </w:pPr>
            <w:r>
              <w:t xml:space="preserve">Rollout Detail</w:t>
            </w:r>
          </w:p>
        </w:tc>
      </w:tr>
      <w:tr>
        <w:tc>
          <w:tcPr/>
          <w:p>
            <w:pPr>
              <w:pStyle w:val="Compact"/>
              <w:jc w:val="left"/>
            </w:pPr>
            <w:r>
              <w:t xml:space="preserve">Linklaters</w:t>
            </w:r>
          </w:p>
        </w:tc>
        <w:tc>
          <w:tcPr/>
          <w:p>
            <w:pPr>
              <w:pStyle w:val="Compact"/>
              <w:jc w:val="left"/>
            </w:pPr>
            <w:r>
              <w:t xml:space="preserve">Firmwide across 30 offices (Sep 2025)</w:t>
            </w:r>
          </w:p>
        </w:tc>
      </w:tr>
      <w:tr>
        <w:tc>
          <w:tcPr/>
          <w:p>
            <w:pPr>
              <w:pStyle w:val="Compact"/>
              <w:jc w:val="left"/>
            </w:pPr>
            <w:r>
              <w:t xml:space="preserve">Cleary Gottlieb</w:t>
            </w:r>
          </w:p>
        </w:tc>
        <w:tc>
          <w:tcPr/>
          <w:p>
            <w:pPr>
              <w:pStyle w:val="Compact"/>
              <w:jc w:val="left"/>
            </w:pPr>
            <w:r>
              <w:t xml:space="preserve">Portal design partner</w:t>
            </w:r>
          </w:p>
        </w:tc>
      </w:tr>
      <w:tr>
        <w:tc>
          <w:tcPr/>
          <w:p>
            <w:pPr>
              <w:pStyle w:val="Compact"/>
              <w:jc w:val="left"/>
            </w:pPr>
            <w:r>
              <w:t xml:space="preserve">Goodwin Procter</w:t>
            </w:r>
          </w:p>
        </w:tc>
        <w:tc>
          <w:tcPr/>
          <w:p>
            <w:pPr>
              <w:pStyle w:val="Compact"/>
              <w:jc w:val="left"/>
            </w:pPr>
            <w:r>
              <w:t xml:space="preserve">Leading US expansion; Portal design partner</w:t>
            </w:r>
          </w:p>
        </w:tc>
      </w:tr>
      <w:tr>
        <w:tc>
          <w:tcPr/>
          <w:p>
            <w:pPr>
              <w:pStyle w:val="Compact"/>
              <w:jc w:val="left"/>
            </w:pPr>
            <w:r>
              <w:t xml:space="preserve">Dentons (Europe)</w:t>
            </w:r>
          </w:p>
        </w:tc>
        <w:tc>
          <w:tcPr/>
          <w:p>
            <w:pPr>
              <w:pStyle w:val="Compact"/>
              <w:jc w:val="left"/>
            </w:pPr>
            <w:r>
              <w:t xml:space="preserve">Strategic AI partner (Jul 2025)</w:t>
            </w:r>
          </w:p>
        </w:tc>
      </w:tr>
      <w:tr>
        <w:tc>
          <w:tcPr/>
          <w:p>
            <w:pPr>
              <w:pStyle w:val="Compact"/>
              <w:jc w:val="left"/>
            </w:pPr>
            <w:r>
              <w:t xml:space="preserve">Bird &amp; Bird</w:t>
            </w:r>
          </w:p>
        </w:tc>
        <w:tc>
          <w:tcPr/>
          <w:p>
            <w:pPr>
              <w:pStyle w:val="Compact"/>
              <w:jc w:val="left"/>
            </w:pPr>
            <w:r>
              <w:t xml:space="preserve">Firmwide after 6-month pilot; 675 users in trial</w:t>
            </w:r>
          </w:p>
        </w:tc>
      </w:tr>
      <w:tr>
        <w:tc>
          <w:tcPr/>
          <w:p>
            <w:pPr>
              <w:pStyle w:val="Compact"/>
              <w:jc w:val="left"/>
            </w:pPr>
            <w:r>
              <w:t xml:space="preserve">Mishcon de Reya</w:t>
            </w:r>
          </w:p>
        </w:tc>
        <w:tc>
          <w:tcPr/>
          <w:p>
            <w:pPr>
              <w:pStyle w:val="Compact"/>
              <w:jc w:val="left"/>
            </w:pPr>
            <w:r>
              <w:t xml:space="preserve">Customer and Portal design partner</w:t>
            </w:r>
          </w:p>
        </w:tc>
      </w:tr>
      <w:tr>
        <w:tc>
          <w:tcPr/>
          <w:p>
            <w:pPr>
              <w:pStyle w:val="Compact"/>
              <w:jc w:val="left"/>
            </w:pPr>
            <w:r>
              <w:t xml:space="preserve">Addleshaw Goddard</w:t>
            </w:r>
          </w:p>
        </w:tc>
        <w:tc>
          <w:tcPr/>
          <w:p>
            <w:pPr>
              <w:pStyle w:val="Compact"/>
              <w:jc w:val="left"/>
            </w:pPr>
            <w:r>
              <w:t xml:space="preserve">Volume document review (Mar 2025)</w:t>
            </w:r>
          </w:p>
        </w:tc>
      </w:tr>
      <w:tr>
        <w:tc>
          <w:tcPr/>
          <w:p>
            <w:pPr>
              <w:pStyle w:val="Compact"/>
              <w:jc w:val="left"/>
            </w:pPr>
            <w:r>
              <w:t xml:space="preserve">Husch Blackwell</w:t>
            </w:r>
          </w:p>
        </w:tc>
        <w:tc>
          <w:tcPr/>
          <w:p>
            <w:pPr>
              <w:pStyle w:val="Compact"/>
              <w:jc w:val="left"/>
            </w:pPr>
            <w:r>
              <w:t xml:space="preserve">Firmwide rollout; Legora Workflows</w:t>
            </w:r>
          </w:p>
        </w:tc>
      </w:tr>
      <w:tr>
        <w:tc>
          <w:tcPr/>
          <w:p>
            <w:pPr>
              <w:pStyle w:val="Compact"/>
              <w:jc w:val="left"/>
            </w:pPr>
            <w:r>
              <w:t xml:space="preserve">Deloitte Legal</w:t>
            </w:r>
          </w:p>
        </w:tc>
        <w:tc>
          <w:tcPr/>
          <w:p>
            <w:pPr>
              <w:pStyle w:val="Compact"/>
              <w:jc w:val="left"/>
            </w:pPr>
            <w:r>
              <w:t xml:space="preserve">Portal design partner</w:t>
            </w:r>
          </w:p>
        </w:tc>
      </w:tr>
      <w:tr>
        <w:tc>
          <w:tcPr/>
          <w:p>
            <w:pPr>
              <w:pStyle w:val="Compact"/>
              <w:jc w:val="left"/>
            </w:pPr>
            <w:r>
              <w:t xml:space="preserve">MinterEllison</w:t>
            </w:r>
          </w:p>
        </w:tc>
        <w:tc>
          <w:tcPr/>
          <w:p>
            <w:pPr>
              <w:pStyle w:val="Compact"/>
              <w:jc w:val="left"/>
            </w:pPr>
            <w:r>
              <w:t xml:space="preserve">Integrated with proprietary Cortex tool</w:t>
            </w:r>
          </w:p>
        </w:tc>
      </w:tr>
      <w:tr>
        <w:tc>
          <w:tcPr/>
          <w:p>
            <w:pPr>
              <w:pStyle w:val="Compact"/>
              <w:jc w:val="left"/>
            </w:pPr>
            <w:r>
              <w:t xml:space="preserve">Allens</w:t>
            </w:r>
          </w:p>
        </w:tc>
        <w:tc>
          <w:tcPr/>
          <w:p>
            <w:pPr>
              <w:pStyle w:val="Compact"/>
              <w:jc w:val="left"/>
            </w:pPr>
            <w:r>
              <w:t xml:space="preserve">Portal design partner</w:t>
            </w:r>
          </w:p>
        </w:tc>
      </w:tr>
      <w:tr>
        <w:tc>
          <w:tcPr/>
          <w:p>
            <w:pPr>
              <w:pStyle w:val="Compact"/>
              <w:jc w:val="left"/>
            </w:pPr>
            <w:r>
              <w:t xml:space="preserve">Mannheimer Swartling</w:t>
            </w:r>
          </w:p>
        </w:tc>
        <w:tc>
          <w:tcPr/>
          <w:p>
            <w:pPr>
              <w:pStyle w:val="Compact"/>
              <w:jc w:val="left"/>
            </w:pPr>
            <w:r>
              <w:t xml:space="preserve">Portal design partner</w:t>
            </w:r>
          </w:p>
        </w:tc>
      </w:tr>
      <w:tr>
        <w:tc>
          <w:tcPr/>
          <w:p>
            <w:pPr>
              <w:pStyle w:val="Compact"/>
              <w:jc w:val="left"/>
            </w:pPr>
            <w:r>
              <w:t xml:space="preserve">Pérez-Llorca</w:t>
            </w:r>
          </w:p>
        </w:tc>
        <w:tc>
          <w:tcPr/>
          <w:p>
            <w:pPr>
              <w:pStyle w:val="Compact"/>
              <w:jc w:val="left"/>
            </w:pPr>
            <w:r>
              <w:t xml:space="preserve">Strategic agreement for Iberian market</w:t>
            </w:r>
          </w:p>
        </w:tc>
      </w:tr>
      <w:tr>
        <w:tc>
          <w:tcPr/>
          <w:p>
            <w:pPr>
              <w:pStyle w:val="Compact"/>
              <w:jc w:val="left"/>
            </w:pPr>
            <w:r>
              <w:t xml:space="preserve">Al Tamimi &amp; Company</w:t>
            </w:r>
          </w:p>
        </w:tc>
        <w:tc>
          <w:tcPr/>
          <w:p>
            <w:pPr>
              <w:pStyle w:val="Compact"/>
              <w:jc w:val="left"/>
            </w:pPr>
            <w:r>
              <w:t xml:space="preserve">Portal design partner</w:t>
            </w:r>
          </w:p>
        </w:tc>
      </w:tr>
      <w:tr>
        <w:tc>
          <w:tcPr/>
          <w:p>
            <w:pPr>
              <w:pStyle w:val="Compact"/>
              <w:jc w:val="left"/>
            </w:pPr>
            <w:r>
              <w:t xml:space="preserve">TLT</w:t>
            </w:r>
          </w:p>
        </w:tc>
        <w:tc>
          <w:tcPr/>
          <w:p>
            <w:pPr>
              <w:pStyle w:val="Compact"/>
              <w:jc w:val="left"/>
            </w:pPr>
            <w:r>
              <w:t xml:space="preserve">Portal design partner</w:t>
            </w:r>
          </w:p>
        </w:tc>
      </w:tr>
    </w:tbl>
    <w:bookmarkEnd w:id="41"/>
    <w:bookmarkStart w:id="42" w:name="deepjudge-customers-publicly-confirmed"/>
    <w:p>
      <w:pPr>
        <w:pStyle w:val="Heading3"/>
      </w:pPr>
      <w:r>
        <w:t xml:space="preserve">6.3 DeepJudge Customers (Publicly Confirmed)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Firm</w:t>
            </w:r>
          </w:p>
        </w:tc>
        <w:tc>
          <w:tcPr/>
          <w:p>
            <w:pPr>
              <w:pStyle w:val="Compact"/>
              <w:jc w:val="left"/>
            </w:pPr>
            <w:r>
              <w:t xml:space="preserve">Detail</w:t>
            </w:r>
          </w:p>
        </w:tc>
      </w:tr>
      <w:tr>
        <w:tc>
          <w:tcPr/>
          <w:p>
            <w:pPr>
              <w:pStyle w:val="Compact"/>
              <w:jc w:val="left"/>
            </w:pPr>
            <w:r>
              <w:t xml:space="preserve">Freshfields</w:t>
            </w:r>
          </w:p>
        </w:tc>
        <w:tc>
          <w:tcPr/>
          <w:p>
            <w:pPr>
              <w:pStyle w:val="Compact"/>
              <w:jc w:val="left"/>
            </w:pPr>
            <w:r>
              <w:t xml:space="preserve">Core component of AI and knowledge strategy</w:t>
            </w:r>
          </w:p>
        </w:tc>
      </w:tr>
      <w:tr>
        <w:tc>
          <w:tcPr/>
          <w:p>
            <w:pPr>
              <w:pStyle w:val="Compact"/>
              <w:jc w:val="left"/>
            </w:pPr>
            <w:r>
              <w:t xml:space="preserve">Holland &amp; Knight</w:t>
            </w:r>
          </w:p>
        </w:tc>
        <w:tc>
          <w:tcPr/>
          <w:p>
            <w:pPr>
              <w:pStyle w:val="Compact"/>
              <w:jc w:val="left"/>
            </w:pPr>
            <w:r>
              <w:t xml:space="preserve">Am Law 100; 2,200+ lawyers</w:t>
            </w:r>
          </w:p>
        </w:tc>
      </w:tr>
      <w:tr>
        <w:tc>
          <w:tcPr/>
          <w:p>
            <w:pPr>
              <w:pStyle w:val="Compact"/>
              <w:jc w:val="left"/>
            </w:pPr>
            <w:r>
              <w:t xml:space="preserve">Cozen O’Connor</w:t>
            </w:r>
          </w:p>
        </w:tc>
        <w:tc>
          <w:tcPr/>
          <w:p>
            <w:pPr>
              <w:pStyle w:val="Compact"/>
              <w:jc w:val="left"/>
            </w:pPr>
            <w:r>
              <w:t xml:space="preserve">825+ attorneys, 30 offices</w:t>
            </w:r>
          </w:p>
        </w:tc>
      </w:tr>
      <w:tr>
        <w:tc>
          <w:tcPr/>
          <w:p>
            <w:pPr>
              <w:pStyle w:val="Compact"/>
              <w:jc w:val="left"/>
            </w:pPr>
            <w:r>
              <w:t xml:space="preserve">ArentFox Schiff</w:t>
            </w:r>
          </w:p>
        </w:tc>
        <w:tc>
          <w:tcPr/>
          <w:p>
            <w:pPr>
              <w:pStyle w:val="Compact"/>
              <w:jc w:val="left"/>
            </w:pPr>
            <w:r>
              <w:t xml:space="preserve">650+ lawyers, 8 US cities</w:t>
            </w:r>
          </w:p>
        </w:tc>
      </w:tr>
      <w:tr>
        <w:tc>
          <w:tcPr/>
          <w:p>
            <w:pPr>
              <w:pStyle w:val="Compact"/>
              <w:jc w:val="left"/>
            </w:pPr>
            <w:r>
              <w:t xml:space="preserve">Gunderson Dettmer</w:t>
            </w:r>
          </w:p>
        </w:tc>
        <w:tc>
          <w:tcPr/>
          <w:p>
            <w:pPr>
              <w:pStyle w:val="Compact"/>
              <w:jc w:val="left"/>
            </w:pPr>
            <w:r>
              <w:t xml:space="preserve">VC-focused firm</w:t>
            </w:r>
          </w:p>
        </w:tc>
      </w:tr>
      <w:tr>
        <w:tc>
          <w:tcPr/>
          <w:p>
            <w:pPr>
              <w:pStyle w:val="Compact"/>
              <w:jc w:val="left"/>
            </w:pPr>
            <w:r>
              <w:t xml:space="preserve">CMS Switzerland</w:t>
            </w:r>
          </w:p>
        </w:tc>
        <w:tc>
          <w:tcPr/>
          <w:p>
            <w:pPr>
              <w:pStyle w:val="Compact"/>
              <w:jc w:val="left"/>
            </w:pPr>
            <w:r>
              <w:t xml:space="preserve">Swiss offices</w:t>
            </w:r>
          </w:p>
        </w:tc>
      </w:tr>
      <w:tr>
        <w:tc>
          <w:tcPr/>
          <w:p>
            <w:pPr>
              <w:pStyle w:val="Compact"/>
              <w:jc w:val="left"/>
            </w:pPr>
            <w:r>
              <w:t xml:space="preserve">Schoenherr</w:t>
            </w:r>
          </w:p>
        </w:tc>
        <w:tc>
          <w:tcPr/>
          <w:p>
            <w:pPr>
              <w:pStyle w:val="Compact"/>
              <w:jc w:val="left"/>
            </w:pPr>
            <w:r>
              <w:t xml:space="preserve">Central/Eastern Europe</w:t>
            </w:r>
          </w:p>
        </w:tc>
      </w:tr>
      <w:tr>
        <w:tc>
          <w:tcPr/>
          <w:p>
            <w:pPr>
              <w:pStyle w:val="Compact"/>
              <w:jc w:val="left"/>
            </w:pPr>
            <w:r>
              <w:t xml:space="preserve">Homburger</w:t>
            </w:r>
          </w:p>
        </w:tc>
        <w:tc>
          <w:tcPr/>
          <w:p>
            <w:pPr>
              <w:pStyle w:val="Compact"/>
              <w:jc w:val="left"/>
            </w:pPr>
            <w:r>
              <w:t xml:space="preserve">80%+ adoption rate</w:t>
            </w:r>
          </w:p>
        </w:tc>
      </w:tr>
      <w:tr>
        <w:tc>
          <w:tcPr/>
          <w:p>
            <w:pPr>
              <w:pStyle w:val="Compact"/>
              <w:jc w:val="left"/>
            </w:pPr>
            <w:r>
              <w:t xml:space="preserve">Lenz &amp; Staehelin</w:t>
            </w:r>
          </w:p>
        </w:tc>
        <w:tc>
          <w:tcPr/>
          <w:p>
            <w:pPr>
              <w:pStyle w:val="Compact"/>
              <w:jc w:val="left"/>
            </w:pPr>
            <w:r>
              <w:t xml:space="preserve">90% adoption rate</w:t>
            </w:r>
          </w:p>
        </w:tc>
      </w:tr>
    </w:tbl>
    <w:bookmarkEnd w:id="42"/>
    <w:bookmarkStart w:id="43" w:name="other-third-party-tools-in-use"/>
    <w:p>
      <w:pPr>
        <w:pStyle w:val="Heading3"/>
      </w:pPr>
      <w:r>
        <w:t xml:space="preserve">6.4 Other Third-Party Tools in Use</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Tool</w:t>
            </w:r>
          </w:p>
        </w:tc>
        <w:tc>
          <w:tcPr/>
          <w:p>
            <w:pPr>
              <w:pStyle w:val="Compact"/>
              <w:jc w:val="left"/>
            </w:pPr>
            <w:r>
              <w:t xml:space="preserve">Firms Using</w:t>
            </w:r>
          </w:p>
        </w:tc>
      </w:tr>
      <w:tr>
        <w:tc>
          <w:tcPr/>
          <w:p>
            <w:pPr>
              <w:pStyle w:val="Compact"/>
              <w:jc w:val="left"/>
            </w:pPr>
            <w:r>
              <w:t xml:space="preserve">CoCounsel (Thomson Reuters)</w:t>
            </w:r>
          </w:p>
        </w:tc>
        <w:tc>
          <w:tcPr/>
          <w:p>
            <w:pPr>
              <w:pStyle w:val="Compact"/>
              <w:jc w:val="left"/>
            </w:pPr>
            <w:r>
              <w:t xml:space="preserve">Widely adopted (1M+ users globally); specific firm names largely undisclosed; some firms reportedly stopped using it (9 firms cited cost/ROI concerns)</w:t>
            </w:r>
          </w:p>
        </w:tc>
      </w:tr>
      <w:tr>
        <w:tc>
          <w:tcPr/>
          <w:p>
            <w:pPr>
              <w:pStyle w:val="Compact"/>
              <w:jc w:val="left"/>
            </w:pPr>
            <w:r>
              <w:t xml:space="preserve">Kira Systems</w:t>
            </w:r>
          </w:p>
        </w:tc>
        <w:tc>
          <w:tcPr/>
          <w:p>
            <w:pPr>
              <w:pStyle w:val="Compact"/>
              <w:jc w:val="left"/>
            </w:pPr>
            <w:r>
              <w:t xml:space="preserve">DLA Piper, Clifford Chance, Goodwin Procter (since 2019)</w:t>
            </w:r>
          </w:p>
        </w:tc>
      </w:tr>
      <w:tr>
        <w:tc>
          <w:tcPr/>
          <w:p>
            <w:pPr>
              <w:pStyle w:val="Compact"/>
              <w:jc w:val="left"/>
            </w:pPr>
            <w:r>
              <w:t xml:space="preserve">Newcode</w:t>
            </w:r>
          </w:p>
        </w:tc>
        <w:tc>
          <w:tcPr/>
          <w:p>
            <w:pPr>
              <w:pStyle w:val="Compact"/>
              <w:jc w:val="left"/>
            </w:pPr>
            <w:r>
              <w:t xml:space="preserve">DLA Piper (Nordics)</w:t>
            </w:r>
          </w:p>
        </w:tc>
      </w:tr>
      <w:tr>
        <w:tc>
          <w:tcPr/>
          <w:p>
            <w:pPr>
              <w:pStyle w:val="Compact"/>
              <w:jc w:val="left"/>
            </w:pPr>
            <w:r>
              <w:t xml:space="preserve">Microsoft Copilot</w:t>
            </w:r>
          </w:p>
        </w:tc>
        <w:tc>
          <w:tcPr/>
          <w:p>
            <w:pPr>
              <w:pStyle w:val="Compact"/>
              <w:jc w:val="left"/>
            </w:pPr>
            <w:r>
              <w:t xml:space="preserve">Clifford Chance (alongside CC Assist); widely adopted across many firms</w:t>
            </w:r>
          </w:p>
        </w:tc>
      </w:tr>
    </w:tbl>
    <w:p>
      <w:r>
        <w:pict>
          <v:rect style="width:0;height:1.5pt" o:hralign="center" o:hrstd="t" o:hr="t"/>
        </w:pict>
      </w:r>
    </w:p>
    <w:bookmarkEnd w:id="43"/>
    <w:bookmarkEnd w:id="44"/>
    <w:bookmarkStart w:id="51" w:name="key-trends-and-analysis"/>
    <w:p>
      <w:pPr>
        <w:pStyle w:val="Heading2"/>
      </w:pPr>
      <w:r>
        <w:t xml:space="preserve">7. Key Trends and Analysis</w:t>
      </w:r>
    </w:p>
    <w:bookmarkStart w:id="45" w:name="the-build-then-buy-pattern"/>
    <w:p>
      <w:pPr>
        <w:pStyle w:val="Heading3"/>
      </w:pPr>
      <w:r>
        <w:t xml:space="preserve">7.1 The</w:t>
      </w:r>
      <w:r>
        <w:t xml:space="preserve"> </w:t>
      </w:r>
      <w:r>
        <w:t xml:space="preserve">“</w:t>
      </w:r>
      <w:r>
        <w:t xml:space="preserve">Build-Then-Buy</w:t>
      </w:r>
      <w:r>
        <w:t xml:space="preserve">”</w:t>
      </w:r>
      <w:r>
        <w:t xml:space="preserve"> </w:t>
      </w:r>
      <w:r>
        <w:t xml:space="preserve">Pattern</w:t>
      </w:r>
    </w:p>
    <w:p>
      <w:pPr>
        <w:pStyle w:val="FirstParagraph"/>
      </w:pPr>
      <w:r>
        <w:t xml:space="preserve">The most significant finding is that</w:t>
      </w:r>
      <w:r>
        <w:t xml:space="preserve"> </w:t>
      </w:r>
      <w:r>
        <w:rPr>
          <w:bCs/>
          <w:b/>
        </w:rPr>
        <w:t xml:space="preserve">firms which built proprietary AI tools are increasingly supplementing or partially replacing them with third-party legal AI platforms</w:t>
      </w:r>
      <w:r>
        <w:t xml:space="preserve">. The pattern is consistent:</w:t>
      </w:r>
    </w:p>
    <w:p>
      <w:pPr>
        <w:numPr>
          <w:ilvl w:val="0"/>
          <w:numId w:val="1009"/>
        </w:numPr>
        <w:pStyle w:val="Compact"/>
      </w:pPr>
      <w:r>
        <w:rPr>
          <w:bCs/>
          <w:b/>
        </w:rPr>
        <w:t xml:space="preserve">Phase 1 (2023-early 2024):</w:t>
      </w:r>
      <w:r>
        <w:t xml:space="preserve"> </w:t>
      </w:r>
      <w:r>
        <w:t xml:space="preserve">Firm builds internal chatbot/assistant on Azure OpenAI or similar (e.g., Laila, FleetAI, AGPT, CC Assist)</w:t>
      </w:r>
    </w:p>
    <w:p>
      <w:pPr>
        <w:numPr>
          <w:ilvl w:val="0"/>
          <w:numId w:val="1009"/>
        </w:numPr>
        <w:pStyle w:val="Compact"/>
      </w:pPr>
      <w:r>
        <w:rPr>
          <w:bCs/>
          <w:b/>
        </w:rPr>
        <w:t xml:space="preserve">Phase 2 (mid-2024-2025):</w:t>
      </w:r>
      <w:r>
        <w:t xml:space="preserve"> </w:t>
      </w:r>
      <w:r>
        <w:t xml:space="preserve">Firm discovers limitations of homegrown tool for complex workflows (large-scale document review, multi-step due diligence, tabular analysis)</w:t>
      </w:r>
    </w:p>
    <w:p>
      <w:pPr>
        <w:numPr>
          <w:ilvl w:val="0"/>
          <w:numId w:val="1009"/>
        </w:numPr>
        <w:pStyle w:val="Compact"/>
      </w:pPr>
      <w:r>
        <w:rPr>
          <w:bCs/>
          <w:b/>
        </w:rPr>
        <w:t xml:space="preserve">Phase 3 (2025-2026):</w:t>
      </w:r>
      <w:r>
        <w:t xml:space="preserve"> </w:t>
      </w:r>
      <w:r>
        <w:t xml:space="preserve">Firm licenses purpose-built legal AI platform (Harvey, Legora, or DeepJudge) to handle complex workflows while often retaining proprietary tool for simpler prompting tasks</w:t>
      </w:r>
    </w:p>
    <w:p>
      <w:pPr>
        <w:pStyle w:val="FirstParagraph"/>
      </w:pPr>
      <w:r>
        <w:rPr>
          <w:bCs/>
          <w:b/>
        </w:rPr>
        <w:t xml:space="preserve">Key examples:</w:t>
      </w:r>
      <w:r>
        <w:t xml:space="preserve"> </w:t>
      </w:r>
      <w:r>
        <w:t xml:space="preserve">Linklaters (Laila → Legora), Dentons (FleetAI → Legora), Addleshaw Goddard (unnamed tool → Legora), Freshfields (Google Cloud → DeepJudge)</w:t>
      </w:r>
    </w:p>
    <w:bookmarkEnd w:id="45"/>
    <w:bookmarkStart w:id="46" w:name="the-multi-vendor-reality"/>
    <w:p>
      <w:pPr>
        <w:pStyle w:val="Heading3"/>
      </w:pPr>
      <w:r>
        <w:t xml:space="preserve">7.2 The Multi-Vendor Reality</w:t>
      </w:r>
    </w:p>
    <w:p>
      <w:pPr>
        <w:pStyle w:val="FirstParagraph"/>
      </w:pPr>
      <w:r>
        <w:t xml:space="preserve">Firms now average</w:t>
      </w:r>
      <w:r>
        <w:t xml:space="preserve"> </w:t>
      </w:r>
      <w:r>
        <w:rPr>
          <w:bCs/>
          <w:b/>
        </w:rPr>
        <w:t xml:space="preserve">18 live AI solutions</w:t>
      </w:r>
      <w:r>
        <w:t xml:space="preserve"> </w:t>
      </w:r>
      <w:r>
        <w:t xml:space="preserve">according to survey data, though actual adoption rates remain low (~20% of lawyers at the largest firms use AI assistants regularly). The trend is toward a multi-vendor stack:</w:t>
      </w:r>
    </w:p>
    <w:p>
      <w:pPr>
        <w:numPr>
          <w:ilvl w:val="0"/>
          <w:numId w:val="1010"/>
        </w:numPr>
        <w:pStyle w:val="Compact"/>
      </w:pPr>
      <w:r>
        <w:rPr>
          <w:bCs/>
          <w:b/>
        </w:rPr>
        <w:t xml:space="preserve">General prompting:</w:t>
      </w:r>
      <w:r>
        <w:t xml:space="preserve"> </w:t>
      </w:r>
      <w:r>
        <w:t xml:space="preserve">Proprietary tool or ChatGPT/Copilot</w:t>
      </w:r>
    </w:p>
    <w:p>
      <w:pPr>
        <w:numPr>
          <w:ilvl w:val="0"/>
          <w:numId w:val="1010"/>
        </w:numPr>
        <w:pStyle w:val="Compact"/>
      </w:pPr>
      <w:r>
        <w:rPr>
          <w:bCs/>
          <w:b/>
        </w:rPr>
        <w:t xml:space="preserve">Legal research:</w:t>
      </w:r>
      <w:r>
        <w:t xml:space="preserve"> </w:t>
      </w:r>
      <w:r>
        <w:t xml:space="preserve">Harvey or CoCounsel</w:t>
      </w:r>
    </w:p>
    <w:p>
      <w:pPr>
        <w:numPr>
          <w:ilvl w:val="0"/>
          <w:numId w:val="1010"/>
        </w:numPr>
        <w:pStyle w:val="Compact"/>
      </w:pPr>
      <w:r>
        <w:rPr>
          <w:bCs/>
          <w:b/>
        </w:rPr>
        <w:t xml:space="preserve">Document review/due diligence:</w:t>
      </w:r>
      <w:r>
        <w:t xml:space="preserve"> </w:t>
      </w:r>
      <w:r>
        <w:t xml:space="preserve">Legora or Harvey</w:t>
      </w:r>
    </w:p>
    <w:p>
      <w:pPr>
        <w:numPr>
          <w:ilvl w:val="0"/>
          <w:numId w:val="1010"/>
        </w:numPr>
        <w:pStyle w:val="Compact"/>
      </w:pPr>
      <w:r>
        <w:rPr>
          <w:bCs/>
          <w:b/>
        </w:rPr>
        <w:t xml:space="preserve">Enterprise knowledge search:</w:t>
      </w:r>
      <w:r>
        <w:t xml:space="preserve"> </w:t>
      </w:r>
      <w:r>
        <w:t xml:space="preserve">DeepJudge</w:t>
      </w:r>
    </w:p>
    <w:p>
      <w:pPr>
        <w:numPr>
          <w:ilvl w:val="0"/>
          <w:numId w:val="1010"/>
        </w:numPr>
        <w:pStyle w:val="Compact"/>
      </w:pPr>
      <w:r>
        <w:rPr>
          <w:bCs/>
          <w:b/>
        </w:rPr>
        <w:t xml:space="preserve">Contract review:</w:t>
      </w:r>
      <w:r>
        <w:t xml:space="preserve"> </w:t>
      </w:r>
      <w:r>
        <w:t xml:space="preserve">Kira Systems or Relativity aiR</w:t>
      </w:r>
    </w:p>
    <w:bookmarkEnd w:id="46"/>
    <w:bookmarkStart w:id="47" w:name="harvey-vs.-legora-the-emerging-duopoly"/>
    <w:p>
      <w:pPr>
        <w:pStyle w:val="Heading3"/>
      </w:pPr>
      <w:r>
        <w:t xml:space="preserve">7.3 Harvey vs. Legora: The Emerging Duopoly</w:t>
      </w:r>
    </w:p>
    <w:p>
      <w:pPr>
        <w:pStyle w:val="FirstParagraph"/>
      </w:pPr>
      <w:r>
        <w:t xml:space="preserve">The legal AI market is consolidating around Harvey and Legora as the two dominant platforms, with distinct positioning:</w:t>
      </w:r>
    </w:p>
    <w:p>
      <w:pPr>
        <w:numPr>
          <w:ilvl w:val="0"/>
          <w:numId w:val="1011"/>
        </w:numPr>
        <w:pStyle w:val="Compact"/>
      </w:pPr>
      <w:r>
        <w:rPr>
          <w:bCs/>
          <w:b/>
        </w:rPr>
        <w:t xml:space="preserve">Harvey:</w:t>
      </w:r>
      <w:r>
        <w:t xml:space="preserve"> </w:t>
      </w:r>
      <w:r>
        <w:t xml:space="preserve">Stronger in transactional research, due diligence, legal drafting; US-centric but expanding globally; higher-profile funding ($8-11B valuation)</w:t>
      </w:r>
    </w:p>
    <w:p>
      <w:pPr>
        <w:numPr>
          <w:ilvl w:val="0"/>
          <w:numId w:val="1011"/>
        </w:numPr>
        <w:pStyle w:val="Compact"/>
      </w:pPr>
      <w:r>
        <w:rPr>
          <w:bCs/>
          <w:b/>
        </w:rPr>
        <w:t xml:space="preserve">Legora:</w:t>
      </w:r>
      <w:r>
        <w:t xml:space="preserve"> </w:t>
      </w:r>
      <w:r>
        <w:t xml:space="preserve">Stronger in large-scale document review, tabular analysis, workflow automation; European origin but expanding to US; collaborative model with firms as design partners</w:t>
      </w:r>
    </w:p>
    <w:bookmarkEnd w:id="47"/>
    <w:bookmarkStart w:id="48" w:name="the-wrapper-economy-under-threat"/>
    <w:p>
      <w:pPr>
        <w:pStyle w:val="Heading3"/>
      </w:pPr>
      <w:r>
        <w:t xml:space="preserve">7.4 The</w:t>
      </w:r>
      <w:r>
        <w:t xml:space="preserve"> </w:t>
      </w:r>
      <w:r>
        <w:t xml:space="preserve">“</w:t>
      </w:r>
      <w:r>
        <w:t xml:space="preserve">Wrapper Economy</w:t>
      </w:r>
      <w:r>
        <w:t xml:space="preserve">”</w:t>
      </w:r>
      <w:r>
        <w:t xml:space="preserve"> </w:t>
      </w:r>
      <w:r>
        <w:t xml:space="preserve">Under Threat</w:t>
      </w:r>
    </w:p>
    <w:p>
      <w:pPr>
        <w:pStyle w:val="FirstParagraph"/>
      </w:pPr>
      <w:r>
        <w:t xml:space="preserve">Both Harvey and Legora face strategic pressure from two directions:</w:t>
      </w:r>
      <w:r>
        <w:t xml:space="preserve"> </w:t>
      </w:r>
      <w:r>
        <w:t xml:space="preserve">-</w:t>
      </w:r>
      <w:r>
        <w:t xml:space="preserve"> </w:t>
      </w:r>
      <w:r>
        <w:rPr>
          <w:bCs/>
          <w:b/>
        </w:rPr>
        <w:t xml:space="preserve">Above:</w:t>
      </w:r>
      <w:r>
        <w:t xml:space="preserve"> </w:t>
      </w:r>
      <w:r>
        <w:t xml:space="preserve">Thomson Reuters and LexisNexis have authoritative content moats and are building their own AI (CoCounsel, Lexis+ AI)</w:t>
      </w:r>
      <w:r>
        <w:t xml:space="preserve"> </w:t>
      </w:r>
      <w:r>
        <w:t xml:space="preserve">-</w:t>
      </w:r>
      <w:r>
        <w:t xml:space="preserve"> </w:t>
      </w:r>
      <w:r>
        <w:rPr>
          <w:bCs/>
          <w:b/>
        </w:rPr>
        <w:t xml:space="preserve">Below:</w:t>
      </w:r>
      <w:r>
        <w:t xml:space="preserve"> </w:t>
      </w:r>
      <w:r>
        <w:t xml:space="preserve">Foundation model providers (Anthropic, OpenAI) are increasingly capable of handling operational legal work directly</w:t>
      </w:r>
    </w:p>
    <w:p>
      <w:pPr>
        <w:pStyle w:val="BodyText"/>
      </w:pPr>
      <w:r>
        <w:t xml:space="preserve">Casualties are already emerging: Robin AI peaked at 200+ employees in early 2025 before declining to ~150 and announcing layoffs.</w:t>
      </w:r>
    </w:p>
    <w:bookmarkEnd w:id="48"/>
    <w:bookmarkStart w:id="49" w:name="adoption-gaps"/>
    <w:p>
      <w:pPr>
        <w:pStyle w:val="Heading3"/>
      </w:pPr>
      <w:r>
        <w:t xml:space="preserve">7.5 Adoption Gaps</w:t>
      </w:r>
    </w:p>
    <w:p>
      <w:pPr>
        <w:pStyle w:val="FirstParagraph"/>
      </w:pPr>
      <w:r>
        <w:t xml:space="preserve">Despite the buzz, significant gaps remain:</w:t>
      </w:r>
      <w:r>
        <w:t xml:space="preserve"> </w:t>
      </w:r>
      <w:r>
        <w:t xml:space="preserve">- Only ~20% of lawyers at the largest firms regularly use AI assistants</w:t>
      </w:r>
      <w:r>
        <w:t xml:space="preserve"> </w:t>
      </w:r>
      <w:r>
        <w:t xml:space="preserve">- 4 firms reportedly stopped using Harvey; 9 firms stopped using CoCounsel — citing cost and lack of ROI</w:t>
      </w:r>
      <w:r>
        <w:t xml:space="preserve"> </w:t>
      </w:r>
      <w:r>
        <w:t xml:space="preserve">- The billable hour model (90% of legal revenue) creates a structural disincentive to deploy productivity-boosting AI at scale</w:t>
      </w:r>
      <w:r>
        <w:t xml:space="preserve"> </w:t>
      </w:r>
      <w:r>
        <w:t xml:space="preserve">- Some firms report 100x productivity gains on specific tasks, yet none of the Am Law 100 anticipate reducing attorney headcount</w:t>
      </w:r>
    </w:p>
    <w:bookmarkEnd w:id="49"/>
    <w:bookmarkStart w:id="50" w:name="elite-us-firms-the-silent-majority"/>
    <w:p>
      <w:pPr>
        <w:pStyle w:val="Heading3"/>
      </w:pPr>
      <w:r>
        <w:t xml:space="preserve">7.6 Elite US Firms: The Silent Majority</w:t>
      </w:r>
    </w:p>
    <w:p>
      <w:pPr>
        <w:pStyle w:val="FirstParagraph"/>
      </w:pPr>
      <w:r>
        <w:t xml:space="preserve">A striking pattern is the</w:t>
      </w:r>
      <w:r>
        <w:t xml:space="preserve"> </w:t>
      </w:r>
      <w:r>
        <w:rPr>
          <w:bCs/>
          <w:b/>
        </w:rPr>
        <w:t xml:space="preserve">lack of public AI vendor disclosures from the most prestigious US firms</w:t>
      </w:r>
      <w:r>
        <w:t xml:space="preserve">. Firms like Wachtell, Cravath, Sullivan &amp; Cromwell, Davis Polk, Simpson Thacher, and Gibson Dunn — despite being among the highest-revenue and most profitable firms — have not publicly confirmed specific legal AI vendor relationships. This may reflect:</w:t>
      </w:r>
      <w:r>
        <w:t xml:space="preserve"> </w:t>
      </w:r>
      <w:r>
        <w:t xml:space="preserve">- A deliberate strategy to avoid signalling dependence on specific vendors</w:t>
      </w:r>
      <w:r>
        <w:t xml:space="preserve"> </w:t>
      </w:r>
      <w:r>
        <w:t xml:space="preserve">- The use of AI tools under NDA/confidentiality arrangements</w:t>
      </w:r>
      <w:r>
        <w:t xml:space="preserve"> </w:t>
      </w:r>
      <w:r>
        <w:t xml:space="preserve">- A wait-and-see approach given the rapidly evolving landscape</w:t>
      </w:r>
      <w:r>
        <w:t xml:space="preserve"> </w:t>
      </w:r>
      <w:r>
        <w:t xml:space="preserve">- Concern about client perception regarding AI use in high-stakes matters</w:t>
      </w:r>
    </w:p>
    <w:p>
      <w:r>
        <w:pict>
          <v:rect style="width:0;height:1.5pt" o:hralign="center" o:hrstd="t" o:hr="t"/>
        </w:pict>
      </w:r>
    </w:p>
    <w:bookmarkEnd w:id="50"/>
    <w:bookmarkEnd w:id="51"/>
    <w:bookmarkStart w:id="101" w:name="sources"/>
    <w:p>
      <w:pPr>
        <w:pStyle w:val="Heading2"/>
      </w:pPr>
      <w:r>
        <w:t xml:space="preserve">8. Sources</w:t>
      </w:r>
    </w:p>
    <w:bookmarkStart w:id="62" w:name="industry-reports-and-surveys"/>
    <w:p>
      <w:pPr>
        <w:pStyle w:val="Heading3"/>
      </w:pPr>
      <w:r>
        <w:t xml:space="preserve">Industry Reports and Surveys</w:t>
      </w:r>
    </w:p>
    <w:p>
      <w:pPr>
        <w:numPr>
          <w:ilvl w:val="0"/>
          <w:numId w:val="1012"/>
        </w:numPr>
        <w:pStyle w:val="Compact"/>
      </w:pPr>
      <w:hyperlink r:id="rId52">
        <w:r>
          <w:rPr>
            <w:rStyle w:val="Hyperlink"/>
          </w:rPr>
          <w:t xml:space="preserve">2025 SKILLS.law NPS Survey — Top 15 Most Recommended Legal AI Vendors</w:t>
        </w:r>
      </w:hyperlink>
    </w:p>
    <w:p>
      <w:pPr>
        <w:numPr>
          <w:ilvl w:val="0"/>
          <w:numId w:val="1012"/>
        </w:numPr>
        <w:pStyle w:val="Compact"/>
      </w:pPr>
      <w:hyperlink r:id="rId53">
        <w:r>
          <w:rPr>
            <w:rStyle w:val="Hyperlink"/>
          </w:rPr>
          <w:t xml:space="preserve">Which Legal AI Tools Are Law Firms Actually Using? — Artificial Lawyer</w:t>
        </w:r>
      </w:hyperlink>
    </w:p>
    <w:p>
      <w:pPr>
        <w:numPr>
          <w:ilvl w:val="0"/>
          <w:numId w:val="1012"/>
        </w:numPr>
        <w:pStyle w:val="Compact"/>
      </w:pPr>
      <w:hyperlink r:id="rId54">
        <w:r>
          <w:rPr>
            <w:rStyle w:val="Hyperlink"/>
          </w:rPr>
          <w:t xml:space="preserve">Artificial Lawyer Predictions 2026</w:t>
        </w:r>
      </w:hyperlink>
    </w:p>
    <w:p>
      <w:pPr>
        <w:numPr>
          <w:ilvl w:val="0"/>
          <w:numId w:val="1012"/>
        </w:numPr>
        <w:pStyle w:val="Compact"/>
      </w:pPr>
      <w:hyperlink r:id="rId55">
        <w:r>
          <w:rPr>
            <w:rStyle w:val="Hyperlink"/>
          </w:rPr>
          <w:t xml:space="preserve">The 2025 Am Law 100: By the Numbers</w:t>
        </w:r>
      </w:hyperlink>
    </w:p>
    <w:p>
      <w:pPr>
        <w:numPr>
          <w:ilvl w:val="0"/>
          <w:numId w:val="1012"/>
        </w:numPr>
        <w:pStyle w:val="Compact"/>
      </w:pPr>
      <w:hyperlink r:id="rId56">
        <w:r>
          <w:rPr>
            <w:rStyle w:val="Hyperlink"/>
          </w:rPr>
          <w:t xml:space="preserve">Am Law 100 Embrace Generative AI</w:t>
        </w:r>
      </w:hyperlink>
    </w:p>
    <w:p>
      <w:pPr>
        <w:numPr>
          <w:ilvl w:val="0"/>
          <w:numId w:val="1012"/>
        </w:numPr>
        <w:pStyle w:val="Compact"/>
      </w:pPr>
      <w:hyperlink r:id="rId57">
        <w:r>
          <w:rPr>
            <w:rStyle w:val="Hyperlink"/>
          </w:rPr>
          <w:t xml:space="preserve">Legal Tech Spending Surges 9.7% — LawNext</w:t>
        </w:r>
      </w:hyperlink>
    </w:p>
    <w:p>
      <w:pPr>
        <w:numPr>
          <w:ilvl w:val="0"/>
          <w:numId w:val="1012"/>
        </w:numPr>
        <w:pStyle w:val="Compact"/>
      </w:pPr>
      <w:hyperlink r:id="rId58">
        <w:r>
          <w:rPr>
            <w:rStyle w:val="Hyperlink"/>
          </w:rPr>
          <w:t xml:space="preserve">ABA Tech Survey: Growing Adoption of AI — LawNext</w:t>
        </w:r>
      </w:hyperlink>
    </w:p>
    <w:p>
      <w:pPr>
        <w:numPr>
          <w:ilvl w:val="0"/>
          <w:numId w:val="1012"/>
        </w:numPr>
        <w:pStyle w:val="Compact"/>
      </w:pPr>
      <w:hyperlink r:id="rId59">
        <w:r>
          <w:rPr>
            <w:rStyle w:val="Hyperlink"/>
          </w:rPr>
          <w:t xml:space="preserve">The Impact of Legal AI — RSGI/Harvey Adoption Report — Legal IT Insider</w:t>
        </w:r>
      </w:hyperlink>
    </w:p>
    <w:p>
      <w:pPr>
        <w:numPr>
          <w:ilvl w:val="0"/>
          <w:numId w:val="1012"/>
        </w:numPr>
        <w:pStyle w:val="Compact"/>
      </w:pPr>
      <w:hyperlink r:id="rId60">
        <w:r>
          <w:rPr>
            <w:rStyle w:val="Hyperlink"/>
          </w:rPr>
          <w:t xml:space="preserve">Harvard Law: Impact of AI on Law Firms’ Business Models</w:t>
        </w:r>
      </w:hyperlink>
    </w:p>
    <w:p>
      <w:pPr>
        <w:numPr>
          <w:ilvl w:val="0"/>
          <w:numId w:val="1012"/>
        </w:numPr>
        <w:pStyle w:val="Compact"/>
      </w:pPr>
      <w:hyperlink r:id="rId61">
        <w:r>
          <w:rPr>
            <w:rStyle w:val="Hyperlink"/>
          </w:rPr>
          <w:t xml:space="preserve">2026: AI Becomes Legal Infrastructure — National Law Review</w:t>
        </w:r>
      </w:hyperlink>
    </w:p>
    <w:bookmarkEnd w:id="62"/>
    <w:bookmarkStart w:id="84" w:name="vendor-and-firm-announcements"/>
    <w:p>
      <w:pPr>
        <w:pStyle w:val="Heading3"/>
      </w:pPr>
      <w:r>
        <w:t xml:space="preserve">Vendor and Firm Announcements</w:t>
      </w:r>
    </w:p>
    <w:p>
      <w:pPr>
        <w:numPr>
          <w:ilvl w:val="0"/>
          <w:numId w:val="1013"/>
        </w:numPr>
        <w:pStyle w:val="Compact"/>
      </w:pPr>
      <w:hyperlink r:id="rId63">
        <w:r>
          <w:rPr>
            <w:rStyle w:val="Hyperlink"/>
          </w:rPr>
          <w:t xml:space="preserve">Harvey — Customers</w:t>
        </w:r>
      </w:hyperlink>
    </w:p>
    <w:p>
      <w:pPr>
        <w:numPr>
          <w:ilvl w:val="0"/>
          <w:numId w:val="1013"/>
        </w:numPr>
        <w:pStyle w:val="Compact"/>
      </w:pPr>
      <w:hyperlink r:id="rId64">
        <w:r>
          <w:rPr>
            <w:rStyle w:val="Hyperlink"/>
          </w:rPr>
          <w:t xml:space="preserve">Harvey raises $300M at $5B valuation — Fortune</w:t>
        </w:r>
      </w:hyperlink>
    </w:p>
    <w:p>
      <w:pPr>
        <w:numPr>
          <w:ilvl w:val="0"/>
          <w:numId w:val="1013"/>
        </w:numPr>
        <w:pStyle w:val="Compact"/>
      </w:pPr>
      <w:hyperlink r:id="rId65">
        <w:r>
          <w:rPr>
            <w:rStyle w:val="Hyperlink"/>
          </w:rPr>
          <w:t xml:space="preserve">Harvey — Wikipedia</w:t>
        </w:r>
      </w:hyperlink>
    </w:p>
    <w:p>
      <w:pPr>
        <w:numPr>
          <w:ilvl w:val="0"/>
          <w:numId w:val="1013"/>
        </w:numPr>
        <w:pStyle w:val="Compact"/>
      </w:pPr>
      <w:hyperlink r:id="rId66">
        <w:r>
          <w:rPr>
            <w:rStyle w:val="Hyperlink"/>
          </w:rPr>
          <w:t xml:space="preserve">Harvey Business Breakdown — Contrary Research</w:t>
        </w:r>
      </w:hyperlink>
    </w:p>
    <w:p>
      <w:pPr>
        <w:numPr>
          <w:ilvl w:val="0"/>
          <w:numId w:val="1013"/>
        </w:numPr>
        <w:pStyle w:val="Compact"/>
      </w:pPr>
      <w:hyperlink r:id="rId67">
        <w:r>
          <w:rPr>
            <w:rStyle w:val="Hyperlink"/>
          </w:rPr>
          <w:t xml:space="preserve">CMS Expands Harvey Firmwide Across 50+ Countries</w:t>
        </w:r>
      </w:hyperlink>
    </w:p>
    <w:p>
      <w:pPr>
        <w:numPr>
          <w:ilvl w:val="0"/>
          <w:numId w:val="1013"/>
        </w:numPr>
        <w:pStyle w:val="Compact"/>
      </w:pPr>
      <w:hyperlink r:id="rId68">
        <w:r>
          <w:rPr>
            <w:rStyle w:val="Hyperlink"/>
          </w:rPr>
          <w:t xml:space="preserve">Legora — Customers Page</w:t>
        </w:r>
      </w:hyperlink>
    </w:p>
    <w:p>
      <w:pPr>
        <w:numPr>
          <w:ilvl w:val="0"/>
          <w:numId w:val="1013"/>
        </w:numPr>
        <w:pStyle w:val="Compact"/>
      </w:pPr>
      <w:hyperlink r:id="rId69">
        <w:r>
          <w:rPr>
            <w:rStyle w:val="Hyperlink"/>
          </w:rPr>
          <w:t xml:space="preserve">Linklaters Rolls Out Legora — Artificial Lawyer</w:t>
        </w:r>
      </w:hyperlink>
    </w:p>
    <w:p>
      <w:pPr>
        <w:numPr>
          <w:ilvl w:val="0"/>
          <w:numId w:val="1013"/>
        </w:numPr>
        <w:pStyle w:val="Compact"/>
      </w:pPr>
      <w:hyperlink r:id="rId70">
        <w:r>
          <w:rPr>
            <w:rStyle w:val="Hyperlink"/>
          </w:rPr>
          <w:t xml:space="preserve">Linklaters Legora Rollout — Legal IT Insider</w:t>
        </w:r>
      </w:hyperlink>
    </w:p>
    <w:p>
      <w:pPr>
        <w:numPr>
          <w:ilvl w:val="0"/>
          <w:numId w:val="1013"/>
        </w:numPr>
        <w:pStyle w:val="Compact"/>
      </w:pPr>
      <w:hyperlink r:id="rId71">
        <w:r>
          <w:rPr>
            <w:rStyle w:val="Hyperlink"/>
          </w:rPr>
          <w:t xml:space="preserve">Addleshaw Goddard Adopts Legora</w:t>
        </w:r>
      </w:hyperlink>
    </w:p>
    <w:p>
      <w:pPr>
        <w:numPr>
          <w:ilvl w:val="0"/>
          <w:numId w:val="1013"/>
        </w:numPr>
        <w:pStyle w:val="Compact"/>
      </w:pPr>
      <w:hyperlink r:id="rId72">
        <w:r>
          <w:rPr>
            <w:rStyle w:val="Hyperlink"/>
          </w:rPr>
          <w:t xml:space="preserve">Bird &amp; Bird Rolls Out Legora Firmwide</w:t>
        </w:r>
      </w:hyperlink>
    </w:p>
    <w:p>
      <w:pPr>
        <w:numPr>
          <w:ilvl w:val="0"/>
          <w:numId w:val="1013"/>
        </w:numPr>
        <w:pStyle w:val="Compact"/>
      </w:pPr>
      <w:hyperlink r:id="rId73">
        <w:r>
          <w:rPr>
            <w:rStyle w:val="Hyperlink"/>
          </w:rPr>
          <w:t xml:space="preserve">Legora Portal Announcement</w:t>
        </w:r>
      </w:hyperlink>
    </w:p>
    <w:p>
      <w:pPr>
        <w:numPr>
          <w:ilvl w:val="0"/>
          <w:numId w:val="1013"/>
        </w:numPr>
        <w:pStyle w:val="Compact"/>
      </w:pPr>
      <w:hyperlink r:id="rId74">
        <w:r>
          <w:rPr>
            <w:rStyle w:val="Hyperlink"/>
          </w:rPr>
          <w:t xml:space="preserve">Legora on Azure OpenAI — Microsoft</w:t>
        </w:r>
      </w:hyperlink>
    </w:p>
    <w:p>
      <w:pPr>
        <w:numPr>
          <w:ilvl w:val="0"/>
          <w:numId w:val="1013"/>
        </w:numPr>
        <w:pStyle w:val="Compact"/>
      </w:pPr>
      <w:hyperlink r:id="rId75">
        <w:r>
          <w:rPr>
            <w:rStyle w:val="Hyperlink"/>
          </w:rPr>
          <w:t xml:space="preserve">Pérez-Llorca and Legora Strategic Agreement</w:t>
        </w:r>
      </w:hyperlink>
    </w:p>
    <w:p>
      <w:pPr>
        <w:numPr>
          <w:ilvl w:val="0"/>
          <w:numId w:val="1013"/>
        </w:numPr>
        <w:pStyle w:val="Compact"/>
      </w:pPr>
      <w:hyperlink r:id="rId76">
        <w:r>
          <w:rPr>
            <w:rStyle w:val="Hyperlink"/>
          </w:rPr>
          <w:t xml:space="preserve">DeepJudge $41.2M Series A / Freshfields Customer</w:t>
        </w:r>
      </w:hyperlink>
    </w:p>
    <w:p>
      <w:pPr>
        <w:numPr>
          <w:ilvl w:val="0"/>
          <w:numId w:val="1013"/>
        </w:numPr>
        <w:pStyle w:val="Compact"/>
      </w:pPr>
      <w:hyperlink r:id="rId77">
        <w:r>
          <w:rPr>
            <w:rStyle w:val="Hyperlink"/>
          </w:rPr>
          <w:t xml:space="preserve">DeepJudge #1 in 2025 SKILLS Survey</w:t>
        </w:r>
      </w:hyperlink>
    </w:p>
    <w:p>
      <w:pPr>
        <w:numPr>
          <w:ilvl w:val="0"/>
          <w:numId w:val="1013"/>
        </w:numPr>
        <w:pStyle w:val="Compact"/>
      </w:pPr>
      <w:hyperlink r:id="rId78">
        <w:r>
          <w:rPr>
            <w:rStyle w:val="Hyperlink"/>
          </w:rPr>
          <w:t xml:space="preserve">DeepJudge Launches AI Agents — StartupTicker</w:t>
        </w:r>
      </w:hyperlink>
    </w:p>
    <w:p>
      <w:pPr>
        <w:numPr>
          <w:ilvl w:val="0"/>
          <w:numId w:val="1013"/>
        </w:numPr>
        <w:pStyle w:val="Compact"/>
      </w:pPr>
      <w:hyperlink r:id="rId79">
        <w:r>
          <w:rPr>
            <w:rStyle w:val="Hyperlink"/>
          </w:rPr>
          <w:t xml:space="preserve">Felicis Investment in DeepJudge</w:t>
        </w:r>
      </w:hyperlink>
    </w:p>
    <w:p>
      <w:pPr>
        <w:numPr>
          <w:ilvl w:val="0"/>
          <w:numId w:val="1013"/>
        </w:numPr>
        <w:pStyle w:val="Compact"/>
      </w:pPr>
      <w:hyperlink r:id="rId80">
        <w:r>
          <w:rPr>
            <w:rStyle w:val="Hyperlink"/>
          </w:rPr>
          <w:t xml:space="preserve">CRS → Harvey; Dentons → Legora; DLA → Newcode — Artificial Lawyer</w:t>
        </w:r>
      </w:hyperlink>
    </w:p>
    <w:p>
      <w:pPr>
        <w:numPr>
          <w:ilvl w:val="0"/>
          <w:numId w:val="1013"/>
        </w:numPr>
        <w:pStyle w:val="Compact"/>
      </w:pPr>
      <w:hyperlink r:id="rId81">
        <w:r>
          <w:rPr>
            <w:rStyle w:val="Hyperlink"/>
          </w:rPr>
          <w:t xml:space="preserve">Husch Blackwell Rolls Out Legora — Legal IT Insider</w:t>
        </w:r>
      </w:hyperlink>
    </w:p>
    <w:p>
      <w:pPr>
        <w:numPr>
          <w:ilvl w:val="0"/>
          <w:numId w:val="1013"/>
        </w:numPr>
        <w:pStyle w:val="Compact"/>
      </w:pPr>
      <w:hyperlink r:id="rId82">
        <w:r>
          <w:rPr>
            <w:rStyle w:val="Hyperlink"/>
          </w:rPr>
          <w:t xml:space="preserve">Honigman Integrates Harvey AI</w:t>
        </w:r>
      </w:hyperlink>
    </w:p>
    <w:p>
      <w:pPr>
        <w:numPr>
          <w:ilvl w:val="0"/>
          <w:numId w:val="1013"/>
        </w:numPr>
        <w:pStyle w:val="Compact"/>
      </w:pPr>
      <w:hyperlink r:id="rId83">
        <w:r>
          <w:rPr>
            <w:rStyle w:val="Hyperlink"/>
          </w:rPr>
          <w:t xml:space="preserve">Thomson Reuters CoCounsel — 1M Users</w:t>
        </w:r>
      </w:hyperlink>
    </w:p>
    <w:bookmarkEnd w:id="84"/>
    <w:bookmarkStart w:id="100" w:name="firm-specific-ai-strategies"/>
    <w:p>
      <w:pPr>
        <w:pStyle w:val="Heading3"/>
      </w:pPr>
      <w:r>
        <w:t xml:space="preserve">Firm-Specific AI Strategies</w:t>
      </w:r>
    </w:p>
    <w:p>
      <w:pPr>
        <w:numPr>
          <w:ilvl w:val="0"/>
          <w:numId w:val="1014"/>
        </w:numPr>
        <w:pStyle w:val="Compact"/>
      </w:pPr>
      <w:hyperlink r:id="rId85">
        <w:r>
          <w:rPr>
            <w:rStyle w:val="Hyperlink"/>
          </w:rPr>
          <w:t xml:space="preserve">A&amp;O Shearman — Harvey Launch Partnership</w:t>
        </w:r>
      </w:hyperlink>
    </w:p>
    <w:p>
      <w:pPr>
        <w:numPr>
          <w:ilvl w:val="0"/>
          <w:numId w:val="1014"/>
        </w:numPr>
        <w:pStyle w:val="Compact"/>
      </w:pPr>
      <w:hyperlink r:id="rId86">
        <w:r>
          <w:rPr>
            <w:rStyle w:val="Hyperlink"/>
          </w:rPr>
          <w:t xml:space="preserve">A&amp;O Strategic Positioning in Legal AI — Klover.ai</w:t>
        </w:r>
      </w:hyperlink>
    </w:p>
    <w:p>
      <w:pPr>
        <w:numPr>
          <w:ilvl w:val="0"/>
          <w:numId w:val="1014"/>
        </w:numPr>
        <w:pStyle w:val="Compact"/>
      </w:pPr>
      <w:hyperlink r:id="rId87">
        <w:r>
          <w:rPr>
            <w:rStyle w:val="Hyperlink"/>
          </w:rPr>
          <w:t xml:space="preserve">Freshfields and Google Cloud AI Collaboration</w:t>
        </w:r>
      </w:hyperlink>
    </w:p>
    <w:p>
      <w:pPr>
        <w:numPr>
          <w:ilvl w:val="0"/>
          <w:numId w:val="1014"/>
        </w:numPr>
        <w:pStyle w:val="Compact"/>
      </w:pPr>
      <w:hyperlink r:id="rId88">
        <w:r>
          <w:rPr>
            <w:rStyle w:val="Hyperlink"/>
          </w:rPr>
          <w:t xml:space="preserve">Freshfields AI Strategy — Artificial Lawyer</w:t>
        </w:r>
      </w:hyperlink>
    </w:p>
    <w:p>
      <w:pPr>
        <w:numPr>
          <w:ilvl w:val="0"/>
          <w:numId w:val="1014"/>
        </w:numPr>
        <w:pStyle w:val="Compact"/>
      </w:pPr>
      <w:hyperlink r:id="rId89">
        <w:r>
          <w:rPr>
            <w:rStyle w:val="Hyperlink"/>
          </w:rPr>
          <w:t xml:space="preserve">Herbert Smith Freehills AI Strategy — Klover.ai</w:t>
        </w:r>
      </w:hyperlink>
    </w:p>
    <w:p>
      <w:pPr>
        <w:numPr>
          <w:ilvl w:val="0"/>
          <w:numId w:val="1014"/>
        </w:numPr>
        <w:pStyle w:val="Compact"/>
      </w:pPr>
      <w:hyperlink r:id="rId90">
        <w:r>
          <w:rPr>
            <w:rStyle w:val="Hyperlink"/>
          </w:rPr>
          <w:t xml:space="preserve">Latham Named Most Innovative — AI Academy</w:t>
        </w:r>
      </w:hyperlink>
    </w:p>
    <w:p>
      <w:pPr>
        <w:numPr>
          <w:ilvl w:val="0"/>
          <w:numId w:val="1014"/>
        </w:numPr>
        <w:pStyle w:val="Compact"/>
      </w:pPr>
      <w:hyperlink r:id="rId91">
        <w:r>
          <w:rPr>
            <w:rStyle w:val="Hyperlink"/>
          </w:rPr>
          <w:t xml:space="preserve">Latham Embraces Harvey AI — Legal News Feed</w:t>
        </w:r>
      </w:hyperlink>
    </w:p>
    <w:p>
      <w:pPr>
        <w:numPr>
          <w:ilvl w:val="0"/>
          <w:numId w:val="1014"/>
        </w:numPr>
        <w:pStyle w:val="Compact"/>
      </w:pPr>
      <w:hyperlink r:id="rId92">
        <w:r>
          <w:rPr>
            <w:rStyle w:val="Hyperlink"/>
          </w:rPr>
          <w:t xml:space="preserve">Baker McKenzie AI Strategy — Klover.ai</w:t>
        </w:r>
      </w:hyperlink>
    </w:p>
    <w:p>
      <w:pPr>
        <w:numPr>
          <w:ilvl w:val="0"/>
          <w:numId w:val="1014"/>
        </w:numPr>
        <w:pStyle w:val="Compact"/>
      </w:pPr>
      <w:hyperlink r:id="rId93">
        <w:r>
          <w:rPr>
            <w:rStyle w:val="Hyperlink"/>
          </w:rPr>
          <w:t xml:space="preserve">Cooley AI Principles + Innovation Manifesto — Artificial Lawyer</w:t>
        </w:r>
      </w:hyperlink>
    </w:p>
    <w:p>
      <w:pPr>
        <w:numPr>
          <w:ilvl w:val="0"/>
          <w:numId w:val="1014"/>
        </w:numPr>
        <w:pStyle w:val="Compact"/>
      </w:pPr>
      <w:hyperlink r:id="rId94">
        <w:r>
          <w:rPr>
            <w:rStyle w:val="Hyperlink"/>
          </w:rPr>
          <w:t xml:space="preserve">Goodwin Procter AI Strategy — Klover.ai</w:t>
        </w:r>
      </w:hyperlink>
    </w:p>
    <w:p>
      <w:pPr>
        <w:numPr>
          <w:ilvl w:val="0"/>
          <w:numId w:val="1014"/>
        </w:numPr>
        <w:pStyle w:val="Compact"/>
      </w:pPr>
      <w:hyperlink r:id="rId95">
        <w:r>
          <w:rPr>
            <w:rStyle w:val="Hyperlink"/>
          </w:rPr>
          <w:t xml:space="preserve">Legal AI Split Reshaping Tech Stacks — LawFuel</w:t>
        </w:r>
      </w:hyperlink>
    </w:p>
    <w:p>
      <w:pPr>
        <w:numPr>
          <w:ilvl w:val="0"/>
          <w:numId w:val="1014"/>
        </w:numPr>
        <w:pStyle w:val="Compact"/>
      </w:pPr>
      <w:hyperlink r:id="rId96">
        <w:r>
          <w:rPr>
            <w:rStyle w:val="Hyperlink"/>
          </w:rPr>
          <w:t xml:space="preserve">Harvey vs. Legora Pricing — Purple Blog</w:t>
        </w:r>
      </w:hyperlink>
    </w:p>
    <w:p>
      <w:pPr>
        <w:numPr>
          <w:ilvl w:val="0"/>
          <w:numId w:val="1014"/>
        </w:numPr>
        <w:pStyle w:val="Compact"/>
      </w:pPr>
      <w:hyperlink r:id="rId97">
        <w:r>
          <w:rPr>
            <w:rStyle w:val="Hyperlink"/>
          </w:rPr>
          <w:t xml:space="preserve">BigLaw Firms Using AI LegalTech — LawFuel</w:t>
        </w:r>
      </w:hyperlink>
    </w:p>
    <w:p>
      <w:pPr>
        <w:numPr>
          <w:ilvl w:val="0"/>
          <w:numId w:val="1014"/>
        </w:numPr>
        <w:pStyle w:val="Compact"/>
      </w:pPr>
      <w:hyperlink r:id="rId98">
        <w:r>
          <w:rPr>
            <w:rStyle w:val="Hyperlink"/>
          </w:rPr>
          <w:t xml:space="preserve">NexLaw: Proprietary AI Models Becoming the Norm</w:t>
        </w:r>
      </w:hyperlink>
    </w:p>
    <w:p>
      <w:pPr>
        <w:numPr>
          <w:ilvl w:val="0"/>
          <w:numId w:val="1014"/>
        </w:numPr>
        <w:pStyle w:val="Compact"/>
      </w:pPr>
      <w:hyperlink r:id="rId99">
        <w:r>
          <w:rPr>
            <w:rStyle w:val="Hyperlink"/>
          </w:rPr>
          <w:t xml:space="preserve">Azure OpenAI Transforming Legal Practices — Microsoft</w:t>
        </w:r>
      </w:hyperlink>
    </w:p>
    <w:p>
      <w:r>
        <w:pict>
          <v:rect style="width:0;height:1.5pt" o:hralign="center" o:hrstd="t" o:hr="t"/>
        </w:pict>
      </w:r>
    </w:p>
    <w:p>
      <w:pPr>
        <w:pStyle w:val="FirstParagraph"/>
      </w:pPr>
      <w:r>
        <w:rPr>
          <w:iCs/>
          <w:i/>
        </w:rPr>
        <w:t xml:space="preserve">This report is based on publicly available information as of March 2026. Many law firms maintain confidential AI vendor relationships. The landscape is evolving rapidly — vendor relationships and adoption strategies may change significantly within months of publication.</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9" Target="https://azure.microsoft.com/en-us/blog/azure-openai-service-transforming-legal-practices-with-generative-ai-solutions/" TargetMode="External" /><Relationship Type="http://schemas.openxmlformats.org/officeDocument/2006/relationships/hyperlink" Id="rId60" Target="https://clp.law.harvard.edu/knowledge-hub/insights/the-impact-of-artificial-intelligence-on-law-law-firms-business-models/" TargetMode="External" /><Relationship Type="http://schemas.openxmlformats.org/officeDocument/2006/relationships/hyperlink" Id="rId65" Target="https://en.wikipedia.org/wiki/Harvey_(software)" TargetMode="External" /><Relationship Type="http://schemas.openxmlformats.org/officeDocument/2006/relationships/hyperlink" Id="rId64" Target="https://fortune.com/2025/06/23/harvey-raises-300-million-at-5-billion-valuation-to-be-legal-ai-for-lawyers-worldwide/" TargetMode="External" /><Relationship Type="http://schemas.openxmlformats.org/officeDocument/2006/relationships/hyperlink" Id="rId91" Target="https://legalnewsfeed.com/2025/08/13/latham-watkins-embraces-harvey-ai-setting-a-new-standard-in-legal-tech-innovation/" TargetMode="External" /><Relationship Type="http://schemas.openxmlformats.org/officeDocument/2006/relationships/hyperlink" Id="rId70" Target="https://legaltechnology.com/2025/09/23/linklaters-says-its-roll-out-of-legora-internally-is-just-the-beginning/" TargetMode="External" /><Relationship Type="http://schemas.openxmlformats.org/officeDocument/2006/relationships/hyperlink" Id="rId76" Target="https://legaltechnology.com/2025/11/04/in-brief-deepjudge-raises-41-2m-series-a-announces-freshfields-as-a-customer/" TargetMode="External" /><Relationship Type="http://schemas.openxmlformats.org/officeDocument/2006/relationships/hyperlink" Id="rId59" Target="https://legaltechnology.com/2025/12/02/the-impact-of-legal-ai-a-deeper-dive-into-the-rsgi-harvey-adoption-report/" TargetMode="External" /><Relationship Type="http://schemas.openxmlformats.org/officeDocument/2006/relationships/hyperlink" Id="rId81" Target="https://legaltechnology.com/2026/03/04/legal-tech-latest-husch-blackwell-rolls-out-legora-big-name-hires-for-harvey-spellbook-partners-with-cba-deepip-raises-25m/" TargetMode="External" /><Relationship Type="http://schemas.openxmlformats.org/officeDocument/2006/relationships/hyperlink" Id="rId68" Target="https://legora.com/customers" TargetMode="External" /><Relationship Type="http://schemas.openxmlformats.org/officeDocument/2006/relationships/hyperlink" Id="rId73" Target="https://legora.com/newsroom/portal-announcement" TargetMode="External" /><Relationship Type="http://schemas.openxmlformats.org/officeDocument/2006/relationships/hyperlink" Id="rId61" Target="https://natlawreview.com/article/ten-ai-predictions-2026-what-leading-analysts-say-legal-teams-should-expect" TargetMode="External" /><Relationship Type="http://schemas.openxmlformats.org/officeDocument/2006/relationships/hyperlink" Id="rId96" Target="https://purple.law/blog/harvey-vs-legora-pricing/" TargetMode="External" /><Relationship Type="http://schemas.openxmlformats.org/officeDocument/2006/relationships/hyperlink" Id="rId66" Target="https://research.contrary.com/company/harvey" TargetMode="External" /><Relationship Type="http://schemas.openxmlformats.org/officeDocument/2006/relationships/hyperlink" Id="rId71" Target="https://www.addleshawgoddard.com/en/news/2025/ag-enhances-legal-services-adopting-legora-platform/" TargetMode="External" /><Relationship Type="http://schemas.openxmlformats.org/officeDocument/2006/relationships/hyperlink" Id="rId85" Target="https://www.aoshearman.com/en/news/ao-announces-exclusive-launch-partnership-with-harvey" TargetMode="External" /><Relationship Type="http://schemas.openxmlformats.org/officeDocument/2006/relationships/hyperlink" Id="rId52" Target="https://www.artificiallawyer.com/2025/04/22/the-top-15-most-recommended-legal-ai-vendors-are/" TargetMode="External" /><Relationship Type="http://schemas.openxmlformats.org/officeDocument/2006/relationships/hyperlink" Id="rId93" Target="https://www.artificiallawyer.com/2025/05/19/cooleys-ai-principles-innovation-manifesto/" TargetMode="External" /><Relationship Type="http://schemas.openxmlformats.org/officeDocument/2006/relationships/hyperlink" Id="rId53" Target="https://www.artificiallawyer.com/2025/06/02/which-legal-ai-tools-are-law-firms-actually-using/" TargetMode="External" /><Relationship Type="http://schemas.openxmlformats.org/officeDocument/2006/relationships/hyperlink" Id="rId80" Target="https://www.artificiallawyer.com/2025/07/01/crs-harvey-dentons-legora-dla-newcode/" TargetMode="External" /><Relationship Type="http://schemas.openxmlformats.org/officeDocument/2006/relationships/hyperlink" Id="rId88" Target="https://www.artificiallawyer.com/2025/08/14/freshfields-ai-strategy-google-existential-risk-avoidance/" TargetMode="External" /><Relationship Type="http://schemas.openxmlformats.org/officeDocument/2006/relationships/hyperlink" Id="rId69" Target="https://www.artificiallawyer.com/2025/09/22/linklaters-rolls-out-legora-in-key-customer-win/" TargetMode="External" /><Relationship Type="http://schemas.openxmlformats.org/officeDocument/2006/relationships/hyperlink" Id="rId54" Target="https://www.artificiallawyer.com/2026/01/08/artificial-lawyer-predictions-2026/" TargetMode="External" /><Relationship Type="http://schemas.openxmlformats.org/officeDocument/2006/relationships/hyperlink" Id="rId77" Target="https://www.deepjudge.ai/news/top-legal-tech-tool-2025-skillslaw-nps" TargetMode="External" /><Relationship Type="http://schemas.openxmlformats.org/officeDocument/2006/relationships/hyperlink" Id="rId79" Target="https://www.felicis.com/insight/deepjudge" TargetMode="External" /><Relationship Type="http://schemas.openxmlformats.org/officeDocument/2006/relationships/hyperlink" Id="rId87" Target="https://www.freshfields.com/en/our-thinking/news/news-search/2025/04/freshfields-and-google-cloud-accelerate-legal-innovation-through-strategic-ai-collaboration2" TargetMode="External" /><Relationship Type="http://schemas.openxmlformats.org/officeDocument/2006/relationships/hyperlink" Id="rId67" Target="https://www.harvey.ai/blog/cms-expands-use-of-harvey-firmwide-across-50-countries" TargetMode="External" /><Relationship Type="http://schemas.openxmlformats.org/officeDocument/2006/relationships/hyperlink" Id="rId63" Target="https://www.harvey.ai/customers" TargetMode="External" /><Relationship Type="http://schemas.openxmlformats.org/officeDocument/2006/relationships/hyperlink" Id="rId82" Target="https://www.honigman.com/pressrelease-2428" TargetMode="External" /><Relationship Type="http://schemas.openxmlformats.org/officeDocument/2006/relationships/hyperlink" Id="rId86" Target="https://www.klover.ai/allen-overy-ai-strategic-positioning-in-legal-ai/" TargetMode="External" /><Relationship Type="http://schemas.openxmlformats.org/officeDocument/2006/relationships/hyperlink" Id="rId92" Target="https://www.klover.ai/baker-mckenzie-ai-strategic-positioning-in-legal-ai/" TargetMode="External" /><Relationship Type="http://schemas.openxmlformats.org/officeDocument/2006/relationships/hyperlink" Id="rId94" Target="https://www.klover.ai/goodwin-procter-ai-strategic-positioning-in-legal-ai/" TargetMode="External" /><Relationship Type="http://schemas.openxmlformats.org/officeDocument/2006/relationships/hyperlink" Id="rId89" Target="https://www.klover.ai/herbert-smith-freehills-ai-strategic-positioning-in-legal-ai/" TargetMode="External" /><Relationship Type="http://schemas.openxmlformats.org/officeDocument/2006/relationships/hyperlink" Id="rId97" Target="https://www.lawfuel.com/the-biglaw-firms-using-ai-legaltech-to-redefine-legal-practices/" TargetMode="External" /><Relationship Type="http://schemas.openxmlformats.org/officeDocument/2006/relationships/hyperlink" Id="rId95" Target="https://www.lawfuel.com/the-legal-ai-split-that-will-reshape-every-law-firms-tech-stack/" TargetMode="External" /><Relationship Type="http://schemas.openxmlformats.org/officeDocument/2006/relationships/hyperlink" Id="rId58" Target="https://www.lawnext.com/2025/03/aba-tech-survey-finds-growing-adoption-of-ai-in-legal-practice-with-efficiency-gains-as-primary-driver.html" TargetMode="External" /><Relationship Type="http://schemas.openxmlformats.org/officeDocument/2006/relationships/hyperlink" Id="rId57" Target="https://www.lawnext.com/2026/01/legal-tech-spending-surges-9-7-as-firms-race-to-integrate-ai-says-report-on-state-of-legal-market.html" TargetMode="External" /><Relationship Type="http://schemas.openxmlformats.org/officeDocument/2006/relationships/hyperlink" Id="rId56" Target="https://www.legal.io/articles/5467682/AmLaw-100-Embrace-Generative-AI-Transforming-Legal-Work-and-Operations" TargetMode="External" /><Relationship Type="http://schemas.openxmlformats.org/officeDocument/2006/relationships/hyperlink" Id="rId55" Target="https://www.legal.io/articles/5609720/The-2025-Am-Law-100-By-the-Numbers" TargetMode="External" /><Relationship Type="http://schemas.openxmlformats.org/officeDocument/2006/relationships/hyperlink" Id="rId90" Target="https://www.lw.com/en/news/2025/12/latham-named-most-innovative-law-firm-in-north-america-2025" TargetMode="External" /><Relationship Type="http://schemas.openxmlformats.org/officeDocument/2006/relationships/hyperlink" Id="rId74" Target="https://www.microsoft.com/en/customers/story/23171-legora-azure-openai" TargetMode="External" /><Relationship Type="http://schemas.openxmlformats.org/officeDocument/2006/relationships/hyperlink" Id="rId98" Target="https://www.nexlaw.ai/blog/why-proprietary-ai-models-are-becoming-the-norm-in-law-firms/" TargetMode="External" /><Relationship Type="http://schemas.openxmlformats.org/officeDocument/2006/relationships/hyperlink" Id="rId75" Target="https://www.perezllorca.com/en/news/press-release/perez-llorca-and-legora-formerly-leya-sign-a-strategic-agreement-to-boost-the-integration-of-artificial-intelligence-in-the-legal-sector/" TargetMode="External" /><Relationship Type="http://schemas.openxmlformats.org/officeDocument/2006/relationships/hyperlink" Id="rId83" Target="https://www.prnewswire.com/news-releases/one-million-professionals-turn-to-cocounsel-as-thomson-reuters-scales-ai-for-regulated-industries-302694903.html" TargetMode="External" /><Relationship Type="http://schemas.openxmlformats.org/officeDocument/2006/relationships/hyperlink" Id="rId78" Target="https://www.startupticker.ch/en/news/deepjudge-launches-legal-ai-agents-and-expands-customer-base" TargetMode="External" /><Relationship Type="http://schemas.openxmlformats.org/officeDocument/2006/relationships/hyperlink" Id="rId72" Target="https://www.twobirds.com/en/news-and-deals/2025/global/bird-and-bird-rolls-out-legora-ai-solution-firmwide-with-a-suite-of-options-rooted-in-client-needs" TargetMode="External" /></Relationships>
</file>

<file path=word/_rels/footnotes.xml.rels><?xml version="1.0" encoding="UTF-8"?><Relationships xmlns="http://schemas.openxmlformats.org/package/2006/relationships"><Relationship Type="http://schemas.openxmlformats.org/officeDocument/2006/relationships/hyperlink" Id="rId99" Target="https://azure.microsoft.com/en-us/blog/azure-openai-service-transforming-legal-practices-with-generative-ai-solutions/" TargetMode="External" /><Relationship Type="http://schemas.openxmlformats.org/officeDocument/2006/relationships/hyperlink" Id="rId60" Target="https://clp.law.harvard.edu/knowledge-hub/insights/the-impact-of-artificial-intelligence-on-law-law-firms-business-models/" TargetMode="External" /><Relationship Type="http://schemas.openxmlformats.org/officeDocument/2006/relationships/hyperlink" Id="rId65" Target="https://en.wikipedia.org/wiki/Harvey_(software)" TargetMode="External" /><Relationship Type="http://schemas.openxmlformats.org/officeDocument/2006/relationships/hyperlink" Id="rId64" Target="https://fortune.com/2025/06/23/harvey-raises-300-million-at-5-billion-valuation-to-be-legal-ai-for-lawyers-worldwide/" TargetMode="External" /><Relationship Type="http://schemas.openxmlformats.org/officeDocument/2006/relationships/hyperlink" Id="rId91" Target="https://legalnewsfeed.com/2025/08/13/latham-watkins-embraces-harvey-ai-setting-a-new-standard-in-legal-tech-innovation/" TargetMode="External" /><Relationship Type="http://schemas.openxmlformats.org/officeDocument/2006/relationships/hyperlink" Id="rId70" Target="https://legaltechnology.com/2025/09/23/linklaters-says-its-roll-out-of-legora-internally-is-just-the-beginning/" TargetMode="External" /><Relationship Type="http://schemas.openxmlformats.org/officeDocument/2006/relationships/hyperlink" Id="rId76" Target="https://legaltechnology.com/2025/11/04/in-brief-deepjudge-raises-41-2m-series-a-announces-freshfields-as-a-customer/" TargetMode="External" /><Relationship Type="http://schemas.openxmlformats.org/officeDocument/2006/relationships/hyperlink" Id="rId59" Target="https://legaltechnology.com/2025/12/02/the-impact-of-legal-ai-a-deeper-dive-into-the-rsgi-harvey-adoption-report/" TargetMode="External" /><Relationship Type="http://schemas.openxmlformats.org/officeDocument/2006/relationships/hyperlink" Id="rId81" Target="https://legaltechnology.com/2026/03/04/legal-tech-latest-husch-blackwell-rolls-out-legora-big-name-hires-for-harvey-spellbook-partners-with-cba-deepip-raises-25m/" TargetMode="External" /><Relationship Type="http://schemas.openxmlformats.org/officeDocument/2006/relationships/hyperlink" Id="rId68" Target="https://legora.com/customers" TargetMode="External" /><Relationship Type="http://schemas.openxmlformats.org/officeDocument/2006/relationships/hyperlink" Id="rId73" Target="https://legora.com/newsroom/portal-announcement" TargetMode="External" /><Relationship Type="http://schemas.openxmlformats.org/officeDocument/2006/relationships/hyperlink" Id="rId61" Target="https://natlawreview.com/article/ten-ai-predictions-2026-what-leading-analysts-say-legal-teams-should-expect" TargetMode="External" /><Relationship Type="http://schemas.openxmlformats.org/officeDocument/2006/relationships/hyperlink" Id="rId96" Target="https://purple.law/blog/harvey-vs-legora-pricing/" TargetMode="External" /><Relationship Type="http://schemas.openxmlformats.org/officeDocument/2006/relationships/hyperlink" Id="rId66" Target="https://research.contrary.com/company/harvey" TargetMode="External" /><Relationship Type="http://schemas.openxmlformats.org/officeDocument/2006/relationships/hyperlink" Id="rId71" Target="https://www.addleshawgoddard.com/en/news/2025/ag-enhances-legal-services-adopting-legora-platform/" TargetMode="External" /><Relationship Type="http://schemas.openxmlformats.org/officeDocument/2006/relationships/hyperlink" Id="rId85" Target="https://www.aoshearman.com/en/news/ao-announces-exclusive-launch-partnership-with-harvey" TargetMode="External" /><Relationship Type="http://schemas.openxmlformats.org/officeDocument/2006/relationships/hyperlink" Id="rId52" Target="https://www.artificiallawyer.com/2025/04/22/the-top-15-most-recommended-legal-ai-vendors-are/" TargetMode="External" /><Relationship Type="http://schemas.openxmlformats.org/officeDocument/2006/relationships/hyperlink" Id="rId93" Target="https://www.artificiallawyer.com/2025/05/19/cooleys-ai-principles-innovation-manifesto/" TargetMode="External" /><Relationship Type="http://schemas.openxmlformats.org/officeDocument/2006/relationships/hyperlink" Id="rId53" Target="https://www.artificiallawyer.com/2025/06/02/which-legal-ai-tools-are-law-firms-actually-using/" TargetMode="External" /><Relationship Type="http://schemas.openxmlformats.org/officeDocument/2006/relationships/hyperlink" Id="rId80" Target="https://www.artificiallawyer.com/2025/07/01/crs-harvey-dentons-legora-dla-newcode/" TargetMode="External" /><Relationship Type="http://schemas.openxmlformats.org/officeDocument/2006/relationships/hyperlink" Id="rId88" Target="https://www.artificiallawyer.com/2025/08/14/freshfields-ai-strategy-google-existential-risk-avoidance/" TargetMode="External" /><Relationship Type="http://schemas.openxmlformats.org/officeDocument/2006/relationships/hyperlink" Id="rId69" Target="https://www.artificiallawyer.com/2025/09/22/linklaters-rolls-out-legora-in-key-customer-win/" TargetMode="External" /><Relationship Type="http://schemas.openxmlformats.org/officeDocument/2006/relationships/hyperlink" Id="rId54" Target="https://www.artificiallawyer.com/2026/01/08/artificial-lawyer-predictions-2026/" TargetMode="External" /><Relationship Type="http://schemas.openxmlformats.org/officeDocument/2006/relationships/hyperlink" Id="rId77" Target="https://www.deepjudge.ai/news/top-legal-tech-tool-2025-skillslaw-nps" TargetMode="External" /><Relationship Type="http://schemas.openxmlformats.org/officeDocument/2006/relationships/hyperlink" Id="rId79" Target="https://www.felicis.com/insight/deepjudge" TargetMode="External" /><Relationship Type="http://schemas.openxmlformats.org/officeDocument/2006/relationships/hyperlink" Id="rId87" Target="https://www.freshfields.com/en/our-thinking/news/news-search/2025/04/freshfields-and-google-cloud-accelerate-legal-innovation-through-strategic-ai-collaboration2" TargetMode="External" /><Relationship Type="http://schemas.openxmlformats.org/officeDocument/2006/relationships/hyperlink" Id="rId67" Target="https://www.harvey.ai/blog/cms-expands-use-of-harvey-firmwide-across-50-countries" TargetMode="External" /><Relationship Type="http://schemas.openxmlformats.org/officeDocument/2006/relationships/hyperlink" Id="rId63" Target="https://www.harvey.ai/customers" TargetMode="External" /><Relationship Type="http://schemas.openxmlformats.org/officeDocument/2006/relationships/hyperlink" Id="rId82" Target="https://www.honigman.com/pressrelease-2428" TargetMode="External" /><Relationship Type="http://schemas.openxmlformats.org/officeDocument/2006/relationships/hyperlink" Id="rId86" Target="https://www.klover.ai/allen-overy-ai-strategic-positioning-in-legal-ai/" TargetMode="External" /><Relationship Type="http://schemas.openxmlformats.org/officeDocument/2006/relationships/hyperlink" Id="rId92" Target="https://www.klover.ai/baker-mckenzie-ai-strategic-positioning-in-legal-ai/" TargetMode="External" /><Relationship Type="http://schemas.openxmlformats.org/officeDocument/2006/relationships/hyperlink" Id="rId94" Target="https://www.klover.ai/goodwin-procter-ai-strategic-positioning-in-legal-ai/" TargetMode="External" /><Relationship Type="http://schemas.openxmlformats.org/officeDocument/2006/relationships/hyperlink" Id="rId89" Target="https://www.klover.ai/herbert-smith-freehills-ai-strategic-positioning-in-legal-ai/" TargetMode="External" /><Relationship Type="http://schemas.openxmlformats.org/officeDocument/2006/relationships/hyperlink" Id="rId97" Target="https://www.lawfuel.com/the-biglaw-firms-using-ai-legaltech-to-redefine-legal-practices/" TargetMode="External" /><Relationship Type="http://schemas.openxmlformats.org/officeDocument/2006/relationships/hyperlink" Id="rId95" Target="https://www.lawfuel.com/the-legal-ai-split-that-will-reshape-every-law-firms-tech-stack/" TargetMode="External" /><Relationship Type="http://schemas.openxmlformats.org/officeDocument/2006/relationships/hyperlink" Id="rId58" Target="https://www.lawnext.com/2025/03/aba-tech-survey-finds-growing-adoption-of-ai-in-legal-practice-with-efficiency-gains-as-primary-driver.html" TargetMode="External" /><Relationship Type="http://schemas.openxmlformats.org/officeDocument/2006/relationships/hyperlink" Id="rId57" Target="https://www.lawnext.com/2026/01/legal-tech-spending-surges-9-7-as-firms-race-to-integrate-ai-says-report-on-state-of-legal-market.html" TargetMode="External" /><Relationship Type="http://schemas.openxmlformats.org/officeDocument/2006/relationships/hyperlink" Id="rId56" Target="https://www.legal.io/articles/5467682/AmLaw-100-Embrace-Generative-AI-Transforming-Legal-Work-and-Operations" TargetMode="External" /><Relationship Type="http://schemas.openxmlformats.org/officeDocument/2006/relationships/hyperlink" Id="rId55" Target="https://www.legal.io/articles/5609720/The-2025-Am-Law-100-By-the-Numbers" TargetMode="External" /><Relationship Type="http://schemas.openxmlformats.org/officeDocument/2006/relationships/hyperlink" Id="rId90" Target="https://www.lw.com/en/news/2025/12/latham-named-most-innovative-law-firm-in-north-america-2025" TargetMode="External" /><Relationship Type="http://schemas.openxmlformats.org/officeDocument/2006/relationships/hyperlink" Id="rId74" Target="https://www.microsoft.com/en/customers/story/23171-legora-azure-openai" TargetMode="External" /><Relationship Type="http://schemas.openxmlformats.org/officeDocument/2006/relationships/hyperlink" Id="rId98" Target="https://www.nexlaw.ai/blog/why-proprietary-ai-models-are-becoming-the-norm-in-law-firms/" TargetMode="External" /><Relationship Type="http://schemas.openxmlformats.org/officeDocument/2006/relationships/hyperlink" Id="rId75" Target="https://www.perezllorca.com/en/news/press-release/perez-llorca-and-legora-formerly-leya-sign-a-strategic-agreement-to-boost-the-integration-of-artificial-intelligence-in-the-legal-sector/" TargetMode="External" /><Relationship Type="http://schemas.openxmlformats.org/officeDocument/2006/relationships/hyperlink" Id="rId83" Target="https://www.prnewswire.com/news-releases/one-million-professionals-turn-to-cocounsel-as-thomson-reuters-scales-ai-for-regulated-industries-302694903.html" TargetMode="External" /><Relationship Type="http://schemas.openxmlformats.org/officeDocument/2006/relationships/hyperlink" Id="rId78" Target="https://www.startupticker.ch/en/news/deepjudge-launches-legal-ai-agents-and-expands-customer-base" TargetMode="External" /><Relationship Type="http://schemas.openxmlformats.org/officeDocument/2006/relationships/hyperlink" Id="rId72" Target="https://www.twobirds.com/en/news-and-deals/2025/global/bird-and-bird-rolls-out-legora-ai-solution-firmwide-with-a-suite-of-options-rooted-in-client-nee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2026-03-09T16:10:32Z</dcterms:created>
  <dcterms:modified xsi:type="dcterms:W3CDTF">2026-03-09T16:10:32Z</dcterms:modified>
</cp:coreProperties>
</file>

<file path=docProps/custom.xml><?xml version="1.0" encoding="utf-8"?>
<Properties xmlns="http://schemas.openxmlformats.org/officeDocument/2006/custom-properties" xmlns:vt="http://schemas.openxmlformats.org/officeDocument/2006/docPropsVTypes"/>
</file>