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Uygunsuzluk başına bir form düzenlenir. Büyük uygunsuzluklar (BU) AYNI GÜN, küçük uygunsuzluklar (KU) 3 İŞ GÜNÜ içinde bildirilir (G A-1/d-e). Uygunsuzlukların ortadan kaldırılmaması hâlinde OAB Yönetmeliğine göre sözleşmenin fesih süreci ve cezai müeyyideler Okul Müdürlüğü ve İlçe MEM tarafından takip edilir (G A-2/e; K 1.3/f).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TESPİT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Tespit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Tespitin kaynağı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Aylık komisyon denetimi (EK-1)   ☐ İlçe denetimi   ☐ Şikâyet   ☐ Diğer: ………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İlgili EK-1 form bölümü ve soru no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(A/B/C/D - no: ………)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Uygunsuzluk sınıfı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Büyük uygunsuzluk (BU)        ☐ Küçük uygunsuzluk (KU)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Kayıt no (GNL-KNT-FR-004 çizelgesine işlenir)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UYGUNSUZLUĞUN TANIMI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0658"/>
      </w:tblGrid>
      <w:tr>
        <w:tc>
          <w:tcPr>
            <w:tcW w:w="10658" w:type="dxa"/>
          </w:tcPr>
          <w:p/>
          <w:p/>
          <w:p/>
          <w:p/>
          <w:p/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BİLDİRİMLER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4762"/>
        <w:gridCol w:w="2268"/>
        <w:gridCol w:w="1928"/>
        <w:gridCol w:w="1247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</w:r>
          </w:p>
        </w:tc>
        <w:tc>
          <w:tcPr>
            <w:tcW w:w="4762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Muhatap</w:t>
            </w:r>
          </w:p>
        </w:tc>
        <w:tc>
          <w:tcPr>
            <w:tcW w:w="226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Süre şartı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Yazı tarih / sayı</w:t>
            </w:r>
          </w:p>
        </w:tc>
        <w:tc>
          <w:tcPr>
            <w:tcW w:w="124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Süresinde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İlçe MEM İş Sağlığı ve Güvenliği Bürosu / İl İSGB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BU: aynı gün · KU: 3 iş günü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Strateji Geliştirme Birimi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BU: aynı gün · KU: 3 iş günü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İl Tarım ve Orman Müd. (zehirlenme/enfeksiyon şüphesinde; ürün satıştan kaldırılır)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İvedilikle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4762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Okul-aile birliği yönetimi (sözleşme yükümlülüğü ihlallerinde)</w:t>
            </w:r>
          </w:p>
        </w:tc>
        <w:tc>
          <w:tcPr>
            <w:tcW w:w="226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—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124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</w:tr>
    </w:tbl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6"/>
        </w:rPr>
        <w:t>Not: BU bildirimlerinin İl/İlçe Tarım ve Orman Müdürlüğü ile İl Sağlık Müdürlüğü/İlçe TSM'ye iletimi, okulun bildirimi üzerine AYNI GÜN İl/İlçe MEM tarafından yapılır (G A-1/d).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D. GİDERİLME VE FESİH SÜRECİ TAKİBİ</w:t>
      </w:r>
    </w:p>
    <w:tbl>
      <w:tblPr>
        <w:tblLayout w:type="fixed"/>
        <w:tblLook w:firstColumn="1" w:firstRow="1" w:lastColumn="0" w:lastRow="0" w:noHBand="0" w:noVBand="1" w:val="04A0"/>
        <w:tblW w:w="10660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5443"/>
        <w:gridCol w:w="1928"/>
        <w:gridCol w:w="2835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</w:r>
          </w:p>
        </w:tc>
        <w:tc>
          <w:tcPr>
            <w:tcW w:w="5443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Aşama</w:t>
            </w:r>
          </w:p>
        </w:tc>
        <w:tc>
          <w:tcPr>
            <w:tcW w:w="1928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Tarih / belge</w:t>
            </w:r>
          </w:p>
        </w:tc>
        <w:tc>
          <w:tcPr>
            <w:tcW w:w="2835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5443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İşletmeciye yazılı bildirim yapıldı; giderme süresi verildi (süre: …………)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22/1-e; md. 28/2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5443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Takip kontrolünde uygunsuzluk giderildi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K 1.3/e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5443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Yazılı bildirime rağmen 15 gün içinde yükümlülük yerine getirilmedi → fesih süreci (birlik)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22/1-e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5443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Sağlığa zararlı gıda bulundurulması/satışının yetkili mercilerce tespiti → fesih nedeni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22/1-b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5443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Fesih/cezai müeyyide süreci Okul Müdürlüğü ve İlçe MEM tarafından izleniyor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A-2/e; K 1.3/f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5443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Hukuki ihtilaf hâlinde mülki idare amirine bildirim</w:t>
            </w:r>
          </w:p>
        </w:tc>
        <w:tc>
          <w:tcPr>
            <w:tcW w:w="1928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  <w:tc>
          <w:tcPr>
            <w:tcW w:w="2835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28/3</w:t>
            </w:r>
          </w:p>
        </w:tc>
      </w:tr>
    </w:tbl>
    <w:tbl>
      <w:tblPr>
        <w:tblW w:w="10545" w:type="dxa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Tespiti Yapan / Komisyon Başkanı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Görev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Müdür Yardımcısı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Okul Müdürü</w:t>
              <w:br/>
            </w:r>
            <w:r>
              <w:rPr>
                <w:rFonts w:ascii="Calibri" w:hAnsi="Calibri"/>
                <w:b w:val="0"/>
                <w:i w:val="0"/>
                <w:color w:val="C00000"/>
                <w:sz w:val="17"/>
              </w:rPr>
              <w:t>[Adı SOYADI]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G A-1/d-e, A-2/e; K 1.2/c, 1.3/e-f; OAB Yön. md. 22, 26-28; ÖHKY md. 30, 31/2, 31/5.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(06.03.2025, merkezisgb.meb.gov.tr).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KVKK: Bu formdaki kişisel veriler, okul kantini mevzuatındaki yükümlülüklerin yerine getirilmesi amacıyla 6698 sayılı Kanunun 5/2-ç maddesi (hukuki yükümlülük) uyarınca işlenir; yalnızca okul-aile birliği, yetkili merci ve denetim komisyonlarıyla paylaşılır.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2026.08 (29.08.2026));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17.08.2026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GNL-KNT-FR-005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KANTİN UYGUNSUZLUK BİLDİRİM VE TAKİP KAYIT FORMU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GNL-KNT-FR-005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GNL-KNT-FR-005_Kantin_Uygunsuzluk_Bildirim_ve_Takip_Kayit_Formu_v1.0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