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Okul yönetimince, kira sözleşmesinin taraflarca imzalandığı tarihten itibaren ON BEŞ GÜN içinde kiralanan yer, kiracıya teslim tutanağı ile teslim edilir; tutanak birlik/okul yönetimi yetkilileri ile kiracı tarafından imzalanır (OAB Yön. md. 21/2; EK-2 md. 12). İşletme hakkı sona erdiğinde kiracı, kiraladığı yeri kullanımına bırakılan malzemelerle birlikte birlik ve okul yönetimine bir tutanakla teslim eder (EK-2 md. 13).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A. TUTANAK BİLGİLERİ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948"/>
        <w:gridCol w:w="7710"/>
      </w:tblGrid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Tutanak türü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☐ Teslim (sözleşme imzasından itibaren 15 gün içinde)      ☐ Tahliye-teslim (işletme hakkı sonu)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Kira sözleşmesi tarihi / sayısı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Tutanak tarihi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Kiracı (işletmeci)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Teslim edilen mahal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Okul binası içindeki kantin ve eklentileri: ………………………………</w:t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B. MAHAL VE DEMİRBAŞ LİSTESİ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567"/>
        <w:gridCol w:w="4762"/>
        <w:gridCol w:w="1020"/>
        <w:gridCol w:w="1701"/>
        <w:gridCol w:w="2608"/>
      </w:tblGrid>
      <w:tr>
        <w:tc>
          <w:tcPr>
            <w:tcW w:w="56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Sıra</w:t>
            </w:r>
          </w:p>
        </w:tc>
        <w:tc>
          <w:tcPr>
            <w:tcW w:w="4762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Cinsi (mahal bölümü / demirbaş / malzeme)</w:t>
            </w:r>
          </w:p>
        </w:tc>
        <w:tc>
          <w:tcPr>
            <w:tcW w:w="1020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Miktar</w:t>
            </w:r>
          </w:p>
        </w:tc>
        <w:tc>
          <w:tcPr>
            <w:tcW w:w="170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Durumu</w:t>
            </w:r>
          </w:p>
        </w:tc>
        <w:tc>
          <w:tcPr>
            <w:tcW w:w="260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Açıklama</w:t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2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3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4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5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6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7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8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9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10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60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Kantinde kullanılan okula ait taşınırlar, Taşınır Mal Yönetmeliği hükümlerine göre kayıtlı olmalı ve bu listeyle eşleşmelidir (TKB Rehberi §4.4).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C. SAYAÇ DURUMU (OAB Yön. EK-2 md. 11)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1701"/>
        <w:gridCol w:w="1928"/>
        <w:gridCol w:w="2268"/>
        <w:gridCol w:w="4762"/>
      </w:tblGrid>
      <w:tr>
        <w:tc>
          <w:tcPr>
            <w:tcW w:w="170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Sayaç</w:t>
            </w:r>
          </w:p>
        </w:tc>
        <w:tc>
          <w:tcPr>
            <w:tcW w:w="192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Ayrı sayaç var mı</w:t>
            </w:r>
          </w:p>
        </w:tc>
        <w:tc>
          <w:tcPr>
            <w:tcW w:w="226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Teslim günü endeksi</w:t>
            </w:r>
          </w:p>
        </w:tc>
        <w:tc>
          <w:tcPr>
            <w:tcW w:w="4762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Açıklama</w:t>
            </w:r>
          </w:p>
        </w:tc>
      </w:tr>
      <w:tr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Elektrik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☐ Evet  ☐ Hayır</w:t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Su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☐ Evet  ☐ Hayır</w:t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Doğalgaz / ısıtma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☐ Evet  ☐ Hayır</w:t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Sayaçlar ayrı ise fatura bedelleri kiracı tarafından ilgili tahsilât müdürlüklerine ödenir; okul sayaçlarıyla ortak ise idarece tespit edilen miktar tahakkuk dönemlerinde kiracı tarafından okul yönetimine ödenir (OAB Yön. EK-2 md. 11).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D. AÇIKLAMALAR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10658"/>
      </w:tblGrid>
      <w:tr>
        <w:tc>
          <w:tcPr>
            <w:tcW w:w="10658" w:type="dxa"/>
          </w:tcPr>
          <w:p/>
          <w:p/>
          <w:p/>
          <w:p/>
        </w:tc>
      </w:tr>
    </w:tbl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Tahliye-teslimde: kira süresinin sona ermesi veya sözleşmenin feshi hâlinde kiralanan yer tahliye edilmezse 2886 sayılı Devlet İhale Kanununun 75 inci maddesi uyarınca tahliye edilir (OAB Yön. md. 22/2).</w:t>
      </w:r>
    </w:p>
    <w:tbl>
      <w:tblPr>
        <w:tblW w:w="10660" w:type="dxa"/>
        <w:tblLayout w:type="fixed"/>
        <w:tblLook w:firstColumn="1" w:firstRow="1" w:lastColumn="0" w:lastRow="0" w:noHBand="0" w:noVBand="1" w:val="04A0"/>
      </w:tblPr>
      <w:tblGrid>
        <w:gridCol w:w="2665"/>
        <w:gridCol w:w="2665"/>
        <w:gridCol w:w="2665"/>
        <w:gridCol w:w="2665"/>
      </w:tblGrid>
      <w:tr>
        <w:tc>
          <w:tcPr>
            <w:tcW w:w="266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OAB Başkanı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 / İmza</w:t>
            </w:r>
          </w:p>
        </w:tc>
        <w:tc>
          <w:tcPr>
            <w:tcW w:w="266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Okul Müdürü</w:t>
              <w:br/>
            </w:r>
            <w:r>
              <w:rPr>
                <w:rFonts w:ascii="Calibri" w:hAnsi="Calibri"/>
                <w:b w:val="0"/>
                <w:i w:val="0"/>
                <w:color w:val="C00000"/>
                <w:sz w:val="17"/>
              </w:rPr>
              <w:t>[Adı SOYADI]</w:t>
            </w:r>
          </w:p>
        </w:tc>
        <w:tc>
          <w:tcPr>
            <w:tcW w:w="266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Müdür Yardımcısı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</w:t>
            </w:r>
          </w:p>
        </w:tc>
        <w:tc>
          <w:tcPr>
            <w:tcW w:w="266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Kiracı (İşletmeci)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 / İmza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i w:val="0"/>
          <w:color w:val="2C6696"/>
          <w:sz w:val="15"/>
        </w:rPr>
        <w:t xml:space="preserve">DAYANAK: </w:t>
      </w:r>
      <w:r>
        <w:rPr>
          <w:rFonts w:ascii="Calibri" w:hAnsi="Calibri"/>
          <w:b w:val="0"/>
          <w:i w:val="0"/>
          <w:color w:val="767676"/>
          <w:sz w:val="15"/>
        </w:rPr>
        <w:t>OAB Yön. md. 21/2, 21/6, 22/2, EK-2 md. 11-13; Taşınır Mal Yönetmeliği (RG 10.10.2024/32688); TKB Rehberi §4.1, §4.4.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OAB Yön. = MEB Okul-Aile Birliği Yönetmeliği (RG 09.02.2012/28199; son değ. RG 01.12.2023/32386) · ÖHKY = Okul Kantinlerine Dair Özel Hijyen Kuralları Yönetmeliği (RG 05.02.2013/28550) · HEY = Hijyen Eğitimi Yönetmeliği (RG 05.07.2013/28698) · G = MEB 2020/8 sayılı Genelgesi (10.11.2020, E.16476274) · K = Eğitim Kurumlarındaki Gıda İşletmelerinin Kontrol ve Denetimi Uygulama Kılavuzu (2020) ve EK-1..EK-6 formları · OGT = Okul Gıdası Hakkında Tebliğ (2020/23; RG 22.10.2020/31282; değ. RG 09.09.2022/31948, RG 28.09.2023/32323) · BKK = Sağlık Bakanlığı Bilim Kurulu Karar Tutanağı (06.03.2025, merkezisgb.meb.gov.tr).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KVKK: Bu formdaki kişisel veriler, okul kantini mevzuatındaki yükümlülüklerin yerine getirilmesi amacıyla 6698 sayılı Kanunun 5/2-ç maddesi (hukuki yükümlülük) uyarınca işlenir; yalnızca okul-aile birliği, yetkili merci ve denetim komisyonlarıyla paylaşılır.</w:t>
      </w:r>
      <w:r>
        <w:rPr>
          <w:rFonts w:ascii="Calibri" w:hAnsi="Calibri"/>
          <w:b/>
          <w:i/>
          <w:color w:val="B8912F"/>
          <w:sz w:val="14"/>
        </w:rPr>
        <w:t xml:space="preserve">  ▪  GENEL ŞABLON NOTU: </w:t>
      </w:r>
      <w:r>
        <w:rPr>
          <w:rFonts w:ascii="Calibri" w:hAnsi="Calibri"/>
          <w:b w:val="0"/>
          <w:i/>
          <w:color w:val="767676"/>
          <w:sz w:val="14"/>
        </w:rPr>
        <w:t xml:space="preserve">Bu belge, okulapp.org üzerinde yayımlanan OKUL KANTİNİ GENEL BELGE SETİNİN parçasıdır (sürüm 2026.08 (29.08.2026)); resmî bir Bakanlık belgesi değildir. KIRMIZI köşeli parantezli alanlar ve üst bilgideki </w:t>
      </w:r>
      <w:r>
        <w:rPr>
          <w:rFonts w:ascii="Calibri" w:hAnsi="Calibri"/>
          <w:b w:val="0"/>
          <w:i/>
          <w:color w:val="C00000"/>
          <w:sz w:val="14"/>
        </w:rPr>
        <w:t>[OKUL ADI]</w:t>
      </w:r>
      <w:r>
        <w:rPr>
          <w:rFonts w:ascii="Calibri" w:hAnsi="Calibri"/>
          <w:b w:val="0"/>
          <w:i/>
          <w:color w:val="767676"/>
          <w:sz w:val="14"/>
        </w:rPr>
        <w:t xml:space="preserve"> alanı okulun bilgileriyle değiştirilir. Mevzuat atıfları 17.08.2026 itibarıyla yürürlükteki hükümlere göredir; güncelliği kontrol ediniz. Lisans: CC BY 4.0 — kaynak gösterilerek uyarlanabilir. Doldurulmuş nüsha kişisel veri içerir; okul dışına verilmez, internette yayımlanmaz.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24" w:bottom="567" w:left="62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767676"/>
        <w:sz w:val="14"/>
      </w:rPr>
      <w:t xml:space="preserve">GNL-KNT-FR-007 · v1.0 · </w:t>
    </w:r>
    <w:r>
      <w:rPr>
        <w:rFonts w:ascii="Calibri" w:hAnsi="Calibri"/>
        <w:b w:val="0"/>
        <w:i w:val="0"/>
        <w:color w:val="C00000"/>
        <w:sz w:val="14"/>
      </w:rPr>
      <w:t>[OKUL ADI]</w:t>
    </w:r>
    <w:r>
      <w:rPr>
        <w:rFonts w:ascii="Calibri" w:hAnsi="Calibri"/>
        <w:b w:val="0"/>
        <w:i w:val="0"/>
        <w:color w:val="767676"/>
        <w:sz w:val="14"/>
      </w:rPr>
      <w:t xml:space="preserve"> — Okul Kantini İşlemleri Dosyası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0658" w:type="dxa"/>
      <w:tblLayout w:type="fixed"/>
      <w:tblLook w:firstColumn="1" w:firstRow="1" w:lastColumn="0" w:lastRow="0" w:noHBand="0" w:noVBand="1" w:val="04A0"/>
    </w:tblPr>
    <w:tblGrid>
      <w:gridCol w:w="907"/>
      <w:gridCol w:w="9751"/>
    </w:tblGrid>
    <w:tr>
      <w:tc>
        <w:tcPr>
          <w:tcW w:w="907" w:type="dxa"/>
          <w:tcBorders>
            <w:bottom w:val="single" w:sz="12" w:color="FCC021"/>
          </w:tcBorders>
        </w:tcPr>
        <w:p>
          <w:pPr>
            <w:spacing w:after="0"/>
          </w:pPr>
        </w:p>
      </w:tc>
      <w:tc>
        <w:tcPr>
          <w:tcW w:w="9751" w:type="dxa"/>
          <w:vAlign w:val="center"/>
          <w:tcBorders>
            <w:bottom w:val="single" w:sz="12" w:color="FCC021"/>
          </w:tcBorders>
        </w:tcPr>
        <w:p>
          <w:pPr>
            <w:spacing w:after="0"/>
          </w:pPr>
          <w:r>
            <w:rPr>
              <w:rFonts w:ascii="Calibri" w:hAnsi="Calibri"/>
              <w:b/>
              <w:i w:val="0"/>
              <w:color w:val="C00000"/>
              <w:sz w:val="19"/>
            </w:rPr>
            <w:t>[OKUL ADI]</w:t>
          </w:r>
          <w:r>
            <w:rPr>
              <w:rFonts w:ascii="Calibri" w:hAnsi="Calibri"/>
              <w:b w:val="0"/>
              <w:i w:val="0"/>
              <w:color w:val="B8912F"/>
              <w:sz w:val="18"/>
            </w:rPr>
            <w:t xml:space="preserve">   ·   </w:t>
          </w:r>
          <w:r>
            <w:rPr>
              <w:rFonts w:ascii="Calibri" w:hAnsi="Calibri"/>
              <w:b w:val="0"/>
              <w:i w:val="0"/>
              <w:color w:val="C00000"/>
              <w:sz w:val="17"/>
            </w:rPr>
            <w:t>[20..-20..]</w:t>
          </w:r>
          <w:r>
            <w:rPr>
              <w:rFonts w:ascii="Calibri" w:hAnsi="Calibri"/>
              <w:b w:val="0"/>
              <w:i w:val="0"/>
              <w:color w:val="767676"/>
              <w:sz w:val="17"/>
            </w:rPr>
            <w:t xml:space="preserve"> Eğitim ve Öğretim Yılı</w:t>
          </w:r>
        </w:p>
        <w:p>
          <w:pPr>
            <w:spacing w:after="0"/>
          </w:pPr>
          <w:r>
            <w:rPr>
              <w:rFonts w:ascii="Calibri" w:hAnsi="Calibri"/>
              <w:b/>
              <w:i w:val="0"/>
              <w:color w:val="2C6696"/>
              <w:sz w:val="17"/>
            </w:rPr>
            <w:t>KANTİN YERİ TESLİM / TAHLİYE-TESLİM TUTANAĞI</w:t>
          </w:r>
          <w:r>
            <w:rPr>
              <w:rFonts w:ascii="Calibri" w:hAnsi="Calibri"/>
              <w:b w:val="0"/>
              <w:i w:val="0"/>
              <w:color w:val="767676"/>
              <w:sz w:val="15"/>
            </w:rPr>
            <w:t xml:space="preserve">    GNL-KNT-FR-007 · v1.0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GNL-KNT-FR-007_Kantin_Yeri_Teslim_Tahliye_Teslim_Tutanagi_v1.0</dc:title>
  <dc:subject/>
  <dc:creator>okulapp.org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