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 w:val="0"/>
          <w:i w:val="0"/>
          <w:color w:val="767676"/>
          <w:sz w:val="17"/>
        </w:rPr>
        <w:t>Okul servis işlemlerine ait belge ve kayıtları tutmak ve talep hâlinde denetim yapacak komisyon, kurum ve kuruluşlara iletmek okul yönetiminin yükümlülüğüdür (Yön. md. 6/1-c). Bu liste yıllık işlem dosyasının eksiksizliğini izler; dosya, her dönem başındaki Servis Denetim Komisyonu denetimlerine (Yön. md. 13/1) hazır tutulur.</w:t>
      </w:r>
    </w:p>
    <w:p>
      <w:pPr>
        <w:keepNext/>
        <w:spacing w:before="6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A. DOSYA BİLGİLERİ</w:t>
      </w:r>
    </w:p>
    <w:tbl>
      <w:tblPr>
        <w:tblLayout w:type="fixed"/>
        <w:tblLook w:firstColumn="1" w:firstRow="1" w:lastColumn="0" w:lastRow="0" w:noHBand="0" w:noVBand="1" w:val="04A0"/>
        <w:tblW w:w="10658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195"/>
        <w:gridCol w:w="6463"/>
      </w:tblGrid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Eğitim ve öğretim yılı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[20..-20..]</w:t>
            </w:r>
          </w:p>
        </w:tc>
      </w:tr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Taşımacı (ad / unvan)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</w:p>
        </w:tc>
      </w:tr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Taşımacıyı Tespit Komisyonu karar tarihi ve sayısı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</w:p>
        </w:tc>
      </w:tr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Mülki idare amiri onay tarihi ve sayısı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</w:p>
        </w:tc>
      </w:tr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Sözleşme tarihi ve süresi (azami 3 eğitim öğretim yılı — Yön. md. 8/1)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</w:p>
        </w:tc>
      </w:tr>
      <w:tr>
        <w:tc>
          <w:tcPr>
            <w:tcW w:w="4195" w:type="dxa"/>
            <w:vAlign w:val="center"/>
          </w:tcPr>
          <w:p>
            <w:pPr>
              <w:spacing w:before="24" w:after="24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Dosya sorumlusu müdür yardımcısı</w:t>
            </w:r>
          </w:p>
        </w:tc>
        <w:tc>
          <w:tcPr>
            <w:tcW w:w="6463" w:type="dxa"/>
            <w:vAlign w:val="center"/>
          </w:tcPr>
          <w:p>
            <w:pPr>
              <w:spacing w:before="24" w:after="24"/>
            </w:pPr>
          </w:p>
        </w:tc>
      </w:tr>
    </w:tbl>
    <w:p>
      <w:pPr>
        <w:keepNext/>
        <w:spacing w:before="60" w:after="5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B. BELGE KONTROL LİSTESİ</w:t>
      </w:r>
    </w:p>
    <w:tbl>
      <w:tblPr>
        <w:tblLayout w:type="fixed"/>
        <w:tblLook w:firstColumn="1" w:firstRow="1" w:lastColumn="0" w:lastRow="0" w:noHBand="0" w:noVBand="1" w:val="04A0"/>
        <w:tblW w:w="10659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4"/>
        <w:gridCol w:w="5556"/>
        <w:gridCol w:w="2154"/>
        <w:gridCol w:w="567"/>
        <w:gridCol w:w="1928"/>
      </w:tblGrid>
      <w:tr>
        <w:trPr>
          <w:tblHeader/>
          <w:cantSplit/>
        </w:trPr>
        <w:tc>
          <w:tcPr>
            <w:tcW w:w="45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w="5556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Belge</w:t>
            </w:r>
          </w:p>
        </w:tc>
        <w:tc>
          <w:tcPr>
            <w:tcW w:w="2154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Dayanak</w:t>
            </w:r>
          </w:p>
        </w:tc>
        <w:tc>
          <w:tcPr>
            <w:tcW w:w="567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Var</w:t>
            </w:r>
          </w:p>
        </w:tc>
        <w:tc>
          <w:tcPr>
            <w:tcW w:w="1928" w:type="dxa"/>
            <w:shd w:val="clear" w:fill="4F4F4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Tarih / Sayı / Açıklama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Şartname (UE EK-1'e göre komisyonca hazırlanmış)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5/1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Sözleşme tasarısı (işlem dosyasında)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5/2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3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İlan yazısı (dosya tesliminden en az 7 gün önce, ilan tahtası) ve ilan tutanağı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5/3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4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Okul web sitesi duyuru kaydı (ekran görüntüsü/çıktı)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5/3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5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İstekli başvuru dosyalarının teslim tutanağı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7/1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6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Komisyon belge inceleme / eksik belge eleme tutanağı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8/1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7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Gerekçeli komisyon kararı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8/2; Yön. md. 8/1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8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EK-3 puanlama cetveli (yalnız itiraz veya ilk kez servis işi hâlinde)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8/3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9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Mülki idare amiri onayı (5 iş günü)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8/2; UE md. 8/5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10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Kararın taşımacıya tebliği (7201 s. Tebligat Kanunu)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8/6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11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İmzalı sözleşme (UE EK-2; komisyon başkanı + taşımacı)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10/1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12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Sözleşme aşaması belge seti (GNL-SRV-FR-002 ile kontrol)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9/1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13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Özel izin belgesi (sözleşme imzasından sonra ibraz edilir)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9/1-b; Yön. md. 3/1-ğ, 5/2-c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14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Sözleşme yapılan taşımacı bilgilerinin ilan panosu ve web sitesinde yayımı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md. 10/3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15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Yürürlükteki servis ücret tarifesi örneği (büyükşehirde UKOME kararı)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5/2-d (5216 s.K. md. 7/1-f)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16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Muhtaç öğrenci ücretsiz taşıma bildirimi (araç başına bir öğrenci)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EK-1 md. 7-a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17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Araç uygunluk kontrol formları (GNL-SRV-FR-003, araç başına)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4, 6/1-c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18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Şoför / rehber personel belge kontrol formları (GNL-SRV-FR-004, kişi başına)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9, 6/1-c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19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Güzergâh, indirme-bindirme yeri ve azami seyahat süresi tutanağı (GNL-SRV-FR-007)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6/1-ç, 6/1-g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20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Servis araç ve personel ana kayıt çizelgesi (GNL-SRV-FR-008, güncel)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6/1-c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21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Değişiklik bildirim formları (GNL-SRV-FR-005) ve ekleri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5/2-f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22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Aksaklık/ihlal tespit tutanakları (GNL-SRV-FR-006) ve Yönetmelik Ek-5 tutanakları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9/4, 15/3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23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Servis kullanan öğrenci bildirim formları (GNL-SRV-FR-009, araç başına; güncellemeler dâhil)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UE EK-1 md. 3/1-l, m; Yön. md. 6/1-a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24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Servis kuralları ihlali öğrenci bildirim formları (GNL-SRV-FR-010) ve okul işlem kayıtları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OK Servis Kuralları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25</w:t>
            </w:r>
          </w:p>
        </w:tc>
        <w:tc>
          <w:tcPr>
            <w:tcW w:w="5556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Haftalık servis yoklama çizelgeleri (GNL-SRV-FR-011; talep/denetim hâlinde örnekleri)</w:t>
            </w:r>
          </w:p>
        </w:tc>
        <w:tc>
          <w:tcPr>
            <w:tcW w:w="2154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Yön. md. 6/1-c, 9/1-g</w:t>
            </w:r>
          </w:p>
        </w:tc>
        <w:tc>
          <w:tcPr>
            <w:tcW w:w="567" w:type="dxa"/>
            <w:vAlign w:val="center"/>
          </w:tcPr>
          <w:p>
            <w:pPr>
              <w:spacing w:before="4" w:after="4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1928" w:type="dxa"/>
            <w:vAlign w:val="center"/>
          </w:tcPr>
          <w:p>
            <w:pPr>
              <w:spacing w:before="4" w:after="4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</w:tr>
    </w:tbl>
    <w:p>
      <w:pPr>
        <w:spacing w:before="0" w:after="0" w:line="40" w:lineRule="exact"/>
      </w:pPr>
      <w:r>
        <w:rPr>
          <w:sz w:val="2"/>
        </w:rPr>
        <w:t xml:space="preserve"> </w:t>
      </w:r>
    </w:p>
    <w:tbl>
      <w:tblPr>
        <w:tblW w:w="10658" w:type="dxa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cantSplit/>
        </w:trPr>
        <w:tc>
          <w:tcPr>
            <w:tcW w:w="5329" w:type="dxa"/>
          </w:tcPr>
          <w:p>
            <w:pPr>
              <w:spacing w:before="60" w:after="4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Düzenleyen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Müdür Yardımcısı</w:t>
            </w:r>
          </w:p>
        </w:tc>
        <w:tc>
          <w:tcPr>
            <w:tcW w:w="5329" w:type="dxa"/>
          </w:tcPr>
          <w:p>
            <w:pPr>
              <w:spacing w:before="60" w:after="4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Okul Müdürü</w:t>
              <w:br/>
            </w:r>
            <w:r>
              <w:rPr>
                <w:rFonts w:ascii="Calibri" w:hAnsi="Calibri"/>
                <w:b w:val="0"/>
                <w:i w:val="0"/>
                <w:color w:val="C00000"/>
                <w:sz w:val="17"/>
              </w:rPr>
              <w:t>[Adı SOYADI]</w:t>
            </w:r>
          </w:p>
        </w:tc>
      </w:tr>
    </w:tbl>
    <w:p>
      <w:pPr>
        <w:spacing w:before="40" w:after="0"/>
      </w:pPr>
      <w:r>
        <w:rPr>
          <w:rFonts w:ascii="Calibri" w:hAnsi="Calibri"/>
          <w:b/>
          <w:i w:val="0"/>
          <w:color w:val="2C6696"/>
          <w:sz w:val="15"/>
        </w:rPr>
        <w:t xml:space="preserve">DAYANAK: </w:t>
      </w:r>
      <w:r>
        <w:rPr>
          <w:rFonts w:ascii="Calibri" w:hAnsi="Calibri"/>
          <w:b w:val="0"/>
          <w:i w:val="0"/>
          <w:color w:val="767676"/>
          <w:sz w:val="15"/>
        </w:rPr>
        <w:t>Yön. md. 6/1 (okul yönetiminin yükümlülükleri), md. 8 (çalıştırma usulü), md. 13 (denetim); UE md. 5-10 (işlem dosyası, ilan, komisyon süreci, sözleşme).</w:t>
      </w:r>
    </w:p>
    <w:p>
      <w:pPr>
        <w:spacing w:before="20" w:after="0"/>
      </w:pPr>
      <w:r>
        <w:rPr>
          <w:rFonts w:ascii="Calibri" w:hAnsi="Calibri"/>
          <w:b w:val="0"/>
          <w:i/>
          <w:color w:val="767676"/>
          <w:sz w:val="14"/>
        </w:rPr>
        <w:t>Yön. = Okul Servis Araçları Yönetmeliği (RG 25.10.2017/30221; son değişiklik RG 19.08.2025/32991) · UE = Okul Servis Araçlarının Çalıştırılmasına İlişkin Usul ve Esaslar (MEB Destek Hizmetleri GM, 30.05.2018 tarihli ve E.10581842 sayılı Olur) · OK = okulun "Okul Kuralları ve Uygulamaları" belgesinin "Servis Kuralları" bölümü (okul yönetimince hazırlanır ve okul internet sayfasında yayımlanır).</w:t>
      </w:r>
      <w:r>
        <w:rPr>
          <w:rFonts w:ascii="Calibri" w:hAnsi="Calibri"/>
          <w:b/>
          <w:i/>
          <w:color w:val="B8912F"/>
          <w:sz w:val="14"/>
        </w:rPr>
        <w:t xml:space="preserve">  ▪  GENEL ŞABLON NOTU: </w:t>
      </w:r>
      <w:r>
        <w:rPr>
          <w:rFonts w:ascii="Calibri" w:hAnsi="Calibri"/>
          <w:b w:val="0"/>
          <w:i/>
          <w:color w:val="767676"/>
          <w:sz w:val="14"/>
        </w:rPr>
        <w:t xml:space="preserve">Bu belge, okulapp.org üzerinde yayımlanan OKUL SERVİSİ GENEL BELGE SETİNİN parçasıdır (sürüm 2026.08 (29.08.2026)); resmî bir Bakanlık belgesi değildir. KIRMIZI köşeli parantezli alanlar ve üst bilgideki </w:t>
      </w:r>
      <w:r>
        <w:rPr>
          <w:rFonts w:ascii="Calibri" w:hAnsi="Calibri"/>
          <w:b w:val="0"/>
          <w:i/>
          <w:color w:val="C00000"/>
          <w:sz w:val="14"/>
        </w:rPr>
        <w:t>[OKUL ADI]</w:t>
      </w:r>
      <w:r>
        <w:rPr>
          <w:rFonts w:ascii="Calibri" w:hAnsi="Calibri"/>
          <w:b w:val="0"/>
          <w:i/>
          <w:color w:val="767676"/>
          <w:sz w:val="14"/>
        </w:rPr>
        <w:t xml:space="preserve"> alanı okulun bilgileriyle değiştirilir. Mevzuat atıfları 17.08.2026 itibarıyla yürürlükteki hükümlere göredir; güncelliği kontrol ediniz. Lisans: CC BY 4.0 — kaynak gösterilerek uyarlanabilir. Doldurulmuş nüsha kişisel veri içerir; okul dışına verilmez, internette yayımlanmaz.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24" w:bottom="567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767676"/>
        <w:sz w:val="14"/>
      </w:rPr>
      <w:t xml:space="preserve">GNL-SRV-FR-001 · v1.0 · </w:t>
    </w:r>
    <w:r>
      <w:rPr>
        <w:rFonts w:ascii="Calibri" w:hAnsi="Calibri"/>
        <w:b w:val="0"/>
        <w:i w:val="0"/>
        <w:color w:val="C00000"/>
        <w:sz w:val="14"/>
      </w:rPr>
      <w:t>[OKUL ADI]</w:t>
    </w:r>
    <w:r>
      <w:rPr>
        <w:rFonts w:ascii="Calibri" w:hAnsi="Calibri"/>
        <w:b w:val="0"/>
        <w:i w:val="0"/>
        <w:color w:val="767676"/>
        <w:sz w:val="14"/>
      </w:rPr>
      <w:t xml:space="preserve"> — Okul Servis İşlemleri Dosyası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658" w:type="dxa"/>
      <w:tblLayout w:type="fixed"/>
      <w:tblLook w:firstColumn="1" w:firstRow="1" w:lastColumn="0" w:lastRow="0" w:noHBand="0" w:noVBand="1" w:val="04A0"/>
    </w:tblPr>
    <w:tblGrid>
      <w:gridCol w:w="907"/>
      <w:gridCol w:w="9751"/>
    </w:tblGrid>
    <w:tr>
      <w:tc>
        <w:tcPr>
          <w:tcW w:w="907" w:type="dxa"/>
          <w:tcBorders>
            <w:bottom w:val="single" w:sz="12" w:color="FCC021"/>
          </w:tcBorders>
        </w:tcPr>
        <w:p>
          <w:pPr>
            <w:spacing w:after="0"/>
          </w:pPr>
        </w:p>
      </w:tc>
      <w:tc>
        <w:tcPr>
          <w:tcW w:w="9751" w:type="dxa"/>
          <w:vAlign w:val="center"/>
          <w:tcBorders>
            <w:bottom w:val="single" w:sz="12" w:color="FCC021"/>
          </w:tcBorders>
        </w:tcPr>
        <w:p>
          <w:pPr>
            <w:spacing w:after="0"/>
          </w:pPr>
          <w:r>
            <w:rPr>
              <w:rFonts w:ascii="Calibri" w:hAnsi="Calibri"/>
              <w:b/>
              <w:i w:val="0"/>
              <w:color w:val="C00000"/>
              <w:sz w:val="19"/>
            </w:rPr>
            <w:t>[OKUL ADI]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 w:val="0"/>
              <w:i w:val="0"/>
              <w:color w:val="C00000"/>
              <w:sz w:val="17"/>
            </w:rPr>
            <w:t>[20..-20..]</w:t>
          </w:r>
          <w:r>
            <w:rPr>
              <w:rFonts w:ascii="Calibri" w:hAnsi="Calibri"/>
              <w:b w:val="0"/>
              <w:i w:val="0"/>
              <w:color w:val="767676"/>
              <w:sz w:val="17"/>
            </w:rPr>
            <w:t xml:space="preserve"> Eğitim ve Öğretim Yılı</w:t>
          </w:r>
        </w:p>
        <w:p>
          <w:pPr>
            <w:spacing w:after="0"/>
          </w:pPr>
          <w:r>
            <w:rPr>
              <w:rFonts w:ascii="Calibri" w:hAnsi="Calibri"/>
              <w:b/>
              <w:i w:val="0"/>
              <w:color w:val="2C6696"/>
              <w:sz w:val="17"/>
            </w:rPr>
            <w:t>SERVİS İŞLEM DOSYASI KAPAK VE KONTROL LİSTESİ</w:t>
          </w:r>
          <w:r>
            <w:rPr>
              <w:rFonts w:ascii="Calibri" w:hAnsi="Calibri"/>
              <w:b w:val="0"/>
              <w:i w:val="0"/>
              <w:color w:val="767676"/>
              <w:sz w:val="15"/>
            </w:rPr>
            <w:t xml:space="preserve">    GNL-SRV-FR-001 ·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GNL-SRV-FR-001_Servis_Islem_Dosyasi_Kapak_ve_Kontrol_Listesi_v1.0</dc:title>
  <dc:subject/>
  <dc:creator>okulapp.org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