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7"/>
        </w:rPr>
        <w:t>Okul yönetimince, kira sözleşmesinin taraflarca imzalandığı tarihten itibaren ON BEŞ GÜN içinde kiralanan yer, kiracıya teslim tutanağı ile teslim edilir; tutanak birlik/okul yönetimi yetkilileri ile kiracı tarafından imzalanır (OAB Yön. md. 21/2; EK-2 md. 12). İşletme hakkı sona erdiğinde kiracı, kiraladığı yeri kullanımına bırakılan malzemelerle birlikte birlik ve okul yönetimine bir tutanakla teslim eder (EK-2 md. 13).</w:t>
      </w:r>
    </w:p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A. TUTANAK BİLGİLERİ</w:t>
      </w:r>
    </w:p>
    <w:tbl>
      <w:tblPr>
        <w:tblLayout w:type="fixed"/>
        <w:tblLook w:firstColumn="1" w:firstRow="1" w:lastColumn="0" w:lastRow="0" w:noHBand="0" w:noVBand="1" w:val="04A0"/>
        <w:tblW w:w="10658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2948"/>
        <w:gridCol w:w="7710"/>
      </w:tblGrid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Tutanak türü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☐ Teslim (sözleşme imzasından itibaren 15 gün içinde)      ☐ Tahliye-teslim (işletme hakkı sonu)</w:t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Kira sözleşmesi tarihi / sayısı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Tutanak tarihi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Kiracı (işletmeci)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Teslim edilen mahal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Okul binası içindeki kantin ve eklentileri: ………………………………</w:t>
            </w:r>
          </w:p>
        </w:tc>
      </w:tr>
    </w:tbl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B. MAHAL VE DEMİRBAŞ LİSTESİ</w:t>
      </w:r>
    </w:p>
    <w:tbl>
      <w:tblPr>
        <w:tblLayout w:type="fixed"/>
        <w:tblLook w:firstColumn="1" w:firstRow="1" w:lastColumn="0" w:lastRow="0" w:noHBand="0" w:noVBand="1" w:val="04A0"/>
        <w:tblW w:w="10658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567"/>
        <w:gridCol w:w="4762"/>
        <w:gridCol w:w="1020"/>
        <w:gridCol w:w="1701"/>
        <w:gridCol w:w="2608"/>
      </w:tblGrid>
      <w:tr>
        <w:tc>
          <w:tcPr>
            <w:tcW w:w="567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Sıra</w:t>
            </w:r>
          </w:p>
        </w:tc>
        <w:tc>
          <w:tcPr>
            <w:tcW w:w="4762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Cinsi (mahal bölümü / demirbaş / malzeme)</w:t>
            </w:r>
          </w:p>
        </w:tc>
        <w:tc>
          <w:tcPr>
            <w:tcW w:w="1020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Miktar</w:t>
            </w:r>
          </w:p>
        </w:tc>
        <w:tc>
          <w:tcPr>
            <w:tcW w:w="1701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Durumu</w:t>
            </w:r>
          </w:p>
        </w:tc>
        <w:tc>
          <w:tcPr>
            <w:tcW w:w="260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Açıklama</w:t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1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60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2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60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3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60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4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60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5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60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6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60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7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60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8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60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9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60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10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60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</w:tbl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6"/>
        </w:rPr>
        <w:t>Kantinde kullanılan okula ait taşınırlar, Taşınır Mal Yönetmeliği hükümlerine göre kayıtlı olmalı ve bu listeyle eşleşmelidir (TKB Rehberi §4.4).</w:t>
      </w:r>
    </w:p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C. SAYAÇ DURUMU (OAB Yön. EK-2 md. 11)</w:t>
      </w:r>
    </w:p>
    <w:tbl>
      <w:tblPr>
        <w:tblLayout w:type="fixed"/>
        <w:tblLook w:firstColumn="1" w:firstRow="1" w:lastColumn="0" w:lastRow="0" w:noHBand="0" w:noVBand="1" w:val="04A0"/>
        <w:tblW w:w="10659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1701"/>
        <w:gridCol w:w="1928"/>
        <w:gridCol w:w="2268"/>
        <w:gridCol w:w="4762"/>
      </w:tblGrid>
      <w:tr>
        <w:tc>
          <w:tcPr>
            <w:tcW w:w="1701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Sayaç</w:t>
            </w:r>
          </w:p>
        </w:tc>
        <w:tc>
          <w:tcPr>
            <w:tcW w:w="192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Ayrı sayaç var mı</w:t>
            </w:r>
          </w:p>
        </w:tc>
        <w:tc>
          <w:tcPr>
            <w:tcW w:w="226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Teslim günü endeksi</w:t>
            </w:r>
          </w:p>
        </w:tc>
        <w:tc>
          <w:tcPr>
            <w:tcW w:w="4762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Açıklama</w:t>
            </w:r>
          </w:p>
        </w:tc>
      </w:tr>
      <w:tr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Elektrik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☐ Evet  ☐ Hayır</w:t>
            </w:r>
          </w:p>
        </w:tc>
        <w:tc>
          <w:tcPr>
            <w:tcW w:w="226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Su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☐ Evet  ☐ Hayır</w:t>
            </w:r>
          </w:p>
        </w:tc>
        <w:tc>
          <w:tcPr>
            <w:tcW w:w="226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Doğalgaz / ısıtma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☐ Evet  ☐ Hayır</w:t>
            </w:r>
          </w:p>
        </w:tc>
        <w:tc>
          <w:tcPr>
            <w:tcW w:w="226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</w:tbl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6"/>
        </w:rPr>
        <w:t>Sayaçlar ayrı ise fatura bedelleri kiracı tarafından ilgili tahsilât müdürlüklerine ödenir; okul sayaçlarıyla ortak ise idarece tespit edilen miktar tahakkuk dönemlerinde kiracı tarafından okul yönetimine ödenir (OAB Yön. EK-2 md. 11).</w:t>
      </w:r>
    </w:p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D. AÇIKLAMALAR</w:t>
      </w:r>
    </w:p>
    <w:tbl>
      <w:tblPr>
        <w:tblLayout w:type="fixed"/>
        <w:tblLook w:firstColumn="1" w:firstRow="1" w:lastColumn="0" w:lastRow="0" w:noHBand="0" w:noVBand="1" w:val="04A0"/>
        <w:tblW w:w="10658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10658"/>
      </w:tblGrid>
      <w:tr>
        <w:tc>
          <w:tcPr>
            <w:tcW w:w="10658" w:type="dxa"/>
          </w:tcPr>
          <w:p/>
          <w:p/>
          <w:p/>
          <w:p/>
        </w:tc>
      </w:tr>
    </w:tbl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6"/>
        </w:rPr>
        <w:t>Tahliye-teslimde: kira süresinin sona ermesi veya sözleşmenin feshi hâlinde kiralanan yer tahliye edilmezse 2886 sayılı Devlet İhale Kanununun 75 inci maddesi uyarınca tahliye edilir (OAB Yön. md. 22/2).</w:t>
      </w:r>
    </w:p>
    <w:tbl>
      <w:tblPr>
        <w:tblW w:w="10660" w:type="dxa"/>
        <w:tblLayout w:type="fixed"/>
        <w:tblLook w:firstColumn="1" w:firstRow="1" w:lastColumn="0" w:lastRow="0" w:noHBand="0" w:noVBand="1" w:val="04A0"/>
      </w:tblPr>
      <w:tblGrid>
        <w:gridCol w:w="2665"/>
        <w:gridCol w:w="2665"/>
        <w:gridCol w:w="2665"/>
        <w:gridCol w:w="2665"/>
      </w:tblGrid>
      <w:tr>
        <w:tc>
          <w:tcPr>
            <w:tcW w:w="2665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OAB Başkanı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Ad Soyad / İmza</w:t>
            </w:r>
          </w:p>
        </w:tc>
        <w:tc>
          <w:tcPr>
            <w:tcW w:w="2665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Okul Müdürü</w:t>
              <w:br/>
            </w:r>
            <w:r>
              <w:rPr>
                <w:rFonts w:ascii="Calibri" w:hAnsi="Calibri"/>
                <w:b w:val="0"/>
                <w:i w:val="0"/>
                <w:color w:val="C00000"/>
                <w:sz w:val="17"/>
              </w:rPr>
              <w:t>[Adı SOYADI]</w:t>
            </w:r>
          </w:p>
        </w:tc>
        <w:tc>
          <w:tcPr>
            <w:tcW w:w="2665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Müdür Yardımcısı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Ad Soyad</w:t>
            </w:r>
          </w:p>
        </w:tc>
        <w:tc>
          <w:tcPr>
            <w:tcW w:w="2665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Kiracı (İşletmeci)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Ad Soyad / İmza</w:t>
            </w:r>
          </w:p>
        </w:tc>
      </w:tr>
    </w:tbl>
    <w:p>
      <w:pPr>
        <w:spacing w:before="100" w:after="0"/>
      </w:pPr>
      <w:r>
        <w:rPr>
          <w:rFonts w:ascii="Calibri" w:hAnsi="Calibri"/>
          <w:b/>
          <w:i w:val="0"/>
          <w:color w:val="2C6696"/>
          <w:sz w:val="15"/>
        </w:rPr>
        <w:t xml:space="preserve">DAYANAK: </w:t>
      </w:r>
      <w:r>
        <w:rPr>
          <w:rFonts w:ascii="Calibri" w:hAnsi="Calibri"/>
          <w:b w:val="0"/>
          <w:i w:val="0"/>
          <w:color w:val="767676"/>
          <w:sz w:val="15"/>
        </w:rPr>
        <w:t>OAB Yön. md. 21/2, 21/6, 22/2, EK-2 md. 11-13; Taşınır Mal Yönetmeliği (RG 10.10.2024/32688); TKB Rehberi §4.1, §4.4.</w:t>
      </w:r>
    </w:p>
    <w:p>
      <w:pPr>
        <w:spacing w:before="40" w:after="0"/>
      </w:pPr>
      <w:r>
        <w:rPr>
          <w:rFonts w:ascii="Calibri" w:hAnsi="Calibri"/>
          <w:b w:val="0"/>
          <w:i/>
          <w:color w:val="767676"/>
          <w:sz w:val="14"/>
        </w:rPr>
        <w:t>OAB Yön. = MEB Okul-Aile Birliği Yönetmeliği (RG 09.02.2012/28199; son değ. RG 01.12.2023/32386) · ÖHKY = Okul Kantinlerine Dair Özel Hijyen Kuralları Yönetmeliği (RG 05.02.2013/28550) · HEY = Hijyen Eğitimi Yönetmeliği (RG 05.07.2013/28698) · G = MEB 2020/8 sayılı Genelgesi (10.11.2020, E.16476274) · K = Eğitim Kurumlarındaki Gıda İşletmelerinin Kontrol ve Denetimi Uygulama Kılavuzu (2020) ve EK-1..EK-6 formları · OGT = Okul Gıdası Hakkında Tebliğ (2020/23; RG 22.10.2020/31282; değ. RG 09.09.2022/31948, RG 28.09.2023/32323) · BKK = Sağlık Bakanlığı Bilim Kurulu Karar Tutanağı (17.08.2026; merkezisgb.meb.gov.tr'de 31.08.2026'da yayımlandı, 06.03.2025 tutanağının yerini aldı).</w:t>
      </w:r>
    </w:p>
    <w:p>
      <w:pPr>
        <w:spacing w:before="40" w:after="0"/>
      </w:pPr>
      <w:r>
        <w:rPr>
          <w:rFonts w:ascii="Calibri" w:hAnsi="Calibri"/>
          <w:b w:val="0"/>
          <w:i/>
          <w:color w:val="767676"/>
          <w:sz w:val="14"/>
        </w:rPr>
        <w:t>KVKK: Bu formdaki kişisel veriler, okul kantini mevzuatındaki yükümlülüklerin yerine getirilmesi amacıyla 6698 sayılı Kanunun 5/2-ç maddesi (hukuki yükümlülük) uyarınca işlenir; yalnızca okul-aile birliği, yetkili merci ve denetim komisyonlarıyla paylaşılır.</w:t>
      </w:r>
      <w:r>
        <w:rPr>
          <w:rFonts w:ascii="Calibri" w:hAnsi="Calibri"/>
          <w:b/>
          <w:i/>
          <w:color w:val="B8912F"/>
          <w:sz w:val="14"/>
        </w:rPr>
        <w:t xml:space="preserve">  ▪  GENEL ŞABLON NOTU: </w:t>
      </w:r>
      <w:r>
        <w:rPr>
          <w:rFonts w:ascii="Calibri" w:hAnsi="Calibri"/>
          <w:b w:val="0"/>
          <w:i/>
          <w:color w:val="767676"/>
          <w:sz w:val="14"/>
        </w:rPr>
        <w:t xml:space="preserve">Bu belge, okulapp.org üzerinde yayımlanan OKUL KANTİNİ GENEL BELGE SETİNİN parçasıdır (sürüm 2026.09 (14.09.2026)); resmî bir Bakanlık belgesi değildir. KIRMIZI köşeli parantezli alanlar ve üst bilgideki </w:t>
      </w:r>
      <w:r>
        <w:rPr>
          <w:rFonts w:ascii="Calibri" w:hAnsi="Calibri"/>
          <w:b w:val="0"/>
          <w:i/>
          <w:color w:val="C00000"/>
          <w:sz w:val="14"/>
        </w:rPr>
        <w:t>[OKUL ADI]</w:t>
      </w:r>
      <w:r>
        <w:rPr>
          <w:rFonts w:ascii="Calibri" w:hAnsi="Calibri"/>
          <w:b w:val="0"/>
          <w:i/>
          <w:color w:val="767676"/>
          <w:sz w:val="14"/>
        </w:rPr>
        <w:t xml:space="preserve"> alanı okulun bilgileriyle değiştirilir. Mevzuat atıfları 14.09.2026 itibarıyla yürürlükteki hükümlere göredir; güncelliği kontrol ediniz. Lisans: CC BY 4.0 — kaynak gösterilerek uyarlanabilir. Doldurulmuş nüsha kişisel veri içerir; okul dışına verilmez, internette yayımlanmaz.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67" w:right="624" w:bottom="567" w:left="62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b w:val="0"/>
        <w:i w:val="0"/>
        <w:color w:val="767676"/>
        <w:sz w:val="14"/>
      </w:rPr>
      <w:t xml:space="preserve">GNL-KNT-FR-007 · v1.0 · </w:t>
    </w:r>
    <w:r>
      <w:rPr>
        <w:rFonts w:ascii="Calibri" w:hAnsi="Calibri"/>
        <w:b w:val="0"/>
        <w:i w:val="0"/>
        <w:color w:val="C00000"/>
        <w:sz w:val="14"/>
      </w:rPr>
      <w:t>[OKUL ADI]</w:t>
    </w:r>
    <w:r>
      <w:rPr>
        <w:rFonts w:ascii="Calibri" w:hAnsi="Calibri"/>
        <w:b w:val="0"/>
        <w:i w:val="0"/>
        <w:color w:val="767676"/>
        <w:sz w:val="14"/>
      </w:rPr>
      <w:t xml:space="preserve"> — Okul Kantini İşlemleri Dosyası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0658" w:type="dxa"/>
      <w:tblLayout w:type="fixed"/>
      <w:tblLook w:firstColumn="1" w:firstRow="1" w:lastColumn="0" w:lastRow="0" w:noHBand="0" w:noVBand="1" w:val="04A0"/>
    </w:tblPr>
    <w:tblGrid>
      <w:gridCol w:w="907"/>
      <w:gridCol w:w="9751"/>
    </w:tblGrid>
    <w:tr>
      <w:tc>
        <w:tcPr>
          <w:tcW w:w="907" w:type="dxa"/>
          <w:tcBorders>
            <w:bottom w:val="single" w:sz="12" w:color="FCC021"/>
          </w:tcBorders>
        </w:tcPr>
        <w:p>
          <w:pPr>
            <w:spacing w:after="0"/>
          </w:pPr>
        </w:p>
      </w:tc>
      <w:tc>
        <w:tcPr>
          <w:tcW w:w="9751" w:type="dxa"/>
          <w:vAlign w:val="center"/>
          <w:tcBorders>
            <w:bottom w:val="single" w:sz="12" w:color="FCC021"/>
          </w:tcBorders>
        </w:tcPr>
        <w:p>
          <w:pPr>
            <w:spacing w:after="0"/>
          </w:pPr>
          <w:r>
            <w:rPr>
              <w:rFonts w:ascii="Calibri" w:hAnsi="Calibri"/>
              <w:b/>
              <w:i w:val="0"/>
              <w:color w:val="C00000"/>
              <w:sz w:val="19"/>
            </w:rPr>
            <w:t>[OKUL ADI]</w:t>
          </w:r>
          <w:r>
            <w:rPr>
              <w:rFonts w:ascii="Calibri" w:hAnsi="Calibri"/>
              <w:b w:val="0"/>
              <w:i w:val="0"/>
              <w:color w:val="B8912F"/>
              <w:sz w:val="18"/>
            </w:rPr>
            <w:t xml:space="preserve">   ·   </w:t>
          </w:r>
          <w:r>
            <w:rPr>
              <w:rFonts w:ascii="Calibri" w:hAnsi="Calibri"/>
              <w:b w:val="0"/>
              <w:i w:val="0"/>
              <w:color w:val="C00000"/>
              <w:sz w:val="17"/>
            </w:rPr>
            <w:t>[20..-20..]</w:t>
          </w:r>
          <w:r>
            <w:rPr>
              <w:rFonts w:ascii="Calibri" w:hAnsi="Calibri"/>
              <w:b w:val="0"/>
              <w:i w:val="0"/>
              <w:color w:val="767676"/>
              <w:sz w:val="17"/>
            </w:rPr>
            <w:t xml:space="preserve"> Eğitim ve Öğretim Yılı</w:t>
          </w:r>
        </w:p>
        <w:p>
          <w:pPr>
            <w:spacing w:after="0"/>
          </w:pPr>
          <w:r>
            <w:rPr>
              <w:rFonts w:ascii="Calibri" w:hAnsi="Calibri"/>
              <w:b/>
              <w:i w:val="0"/>
              <w:color w:val="2C6696"/>
              <w:sz w:val="17"/>
            </w:rPr>
            <w:t>KANTİN YERİ TESLİM / TAHLİYE-TESLİM TUTANAĞI</w:t>
          </w:r>
          <w:r>
            <w:rPr>
              <w:rFonts w:ascii="Calibri" w:hAnsi="Calibri"/>
              <w:b w:val="0"/>
              <w:i w:val="0"/>
              <w:color w:val="767676"/>
              <w:sz w:val="15"/>
            </w:rPr>
            <w:t xml:space="preserve">    GNL-KNT-FR-007 · v1.0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GNL-KNT-FR-007_Kantin_Yeri_Teslim_Tahliye_Teslim_Tutanagi_v1.0</dc:title>
  <dc:subject/>
  <dc:creator>okulapp.org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