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İkinci dönem başı öğretmenler kurulu, Yönergenin EK-1 çizelgesi uyarınca ikinci dönemin ilk iş gününde toplanır; 2026-2027 için 08.02.2027 Pazartesi.</w:t>
            </w:r>
          </w:p>
          <w:p>
            <w:pPr>
              <w:spacing w:after="60"/>
              <w:jc w:val="both"/>
            </w:pPr>
            <w:r>
              <w:rPr>
                <w:b w:val="0"/>
                <w:i w:val="0"/>
                <w:sz w:val="18"/>
              </w:rPr>
              <w:t>• Bu toplantının mevzuattan doğan iki özgün işlemi vardır: okul kıyafetine ilişkin öğretmen görüşünün alınması (Kılık-Kıyafet Yönetmeliğinin 3 üncü maddesi bu görüşü ikinci dönem başında yapılacak öğretmenler kuruluna bağlar) ve ödül ve disiplin kurulunca cezalarının kaldırılması ile davranış puanı iadesi önerilen öğrencilerin görüşülmesi.</w:t>
            </w:r>
          </w:p>
          <w:p>
            <w:pPr>
              <w:spacing w:after="60"/>
              <w:jc w:val="both"/>
            </w:pPr>
            <w:r>
              <w:rPr>
                <w:b w:val="0"/>
                <w:i w:val="0"/>
                <w:sz w:val="18"/>
              </w:rPr>
              <w:t>• 2026-2027 genelgesinde öğrenci okul kıyafetine ilişkin hüküm bulunmadığından bu konuda genelgeye atıf yapılmaz; tek dayanak Kılık-Kıyafet Yönetmeliğinin 3 üncü maddesidir. Logo temini ve internet sayfasından duyuru, aynı maddenin 'görseli okulun internet sayfasında yayımlanır' hükmü gereği sürdürülür.</w:t>
            </w:r>
          </w:p>
          <w:p>
            <w:pPr>
              <w:spacing w:after="60"/>
              <w:jc w:val="both"/>
            </w:pPr>
            <w:r>
              <w:rPr>
                <w:b w:val="0"/>
                <w:i w:val="0"/>
                <w:sz w:val="18"/>
              </w:rPr>
              <w:t>• Doldurulacak çizelgeler: personel değişiklikleri (gündem 5), puan iadesi sayısal dökümü (gündem 8), kıyafet görüş çizelgesi (gündem 9), sınav penceresi teyidi (gündem 10) ve ikinci dönem toplantı takvimi (gündem 12).</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İKİNCİ DÖNEM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(ikinci dönem başı olağan toplantısı)</w:t>
            </w:r>
          </w:p>
        </w:tc>
      </w:tr>
      <w:tr>
        <w:tc>
          <w:tcPr>
            <w:tcW w:w="2381" w:type="dxa"/>
            <w:shd w:val="clear" w:fill="F2F2F2"/>
          </w:tcPr>
          <w:p>
            <w:r/>
            <w:r>
              <w:rPr>
                <w:b/>
                <w:i w:val="0"/>
                <w:sz w:val="18"/>
              </w:rPr>
              <w:t>Toplantı Tarihi</w:t>
            </w:r>
          </w:p>
        </w:tc>
        <w:tc>
          <w:tcPr>
            <w:tcW w:w="7710" w:type="dxa"/>
          </w:tcPr>
          <w:p>
            <w:r/>
            <w:r>
              <w:rPr>
                <w:b w:val="0"/>
                <w:i w:val="0"/>
                <w:sz w:val="18"/>
              </w:rPr>
              <w:t>08/02/2027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w:t>
            </w:r>
            <w:r>
              <w:rPr>
                <w:b w:val="0"/>
                <w:i w:val="0"/>
                <w:color w:val="C00000"/>
                <w:sz w:val="18"/>
              </w:rPr>
              <w:t>[1-2]</w:t>
            </w:r>
            <w:r>
              <w:rPr>
                <w:b w:val="0"/>
                <w:i w:val="0"/>
                <w:sz w:val="18"/>
              </w:rPr>
              <w:t>/2027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Sene başı öğretmenler kurulunda alınan kararların uygulama durumu</w:t>
      </w:r>
    </w:p>
    <w:p>
      <w:pPr>
        <w:spacing w:after="20" w:before="0"/>
        <w:ind w:left="340" w:hanging="340"/>
        <w:jc w:val="both"/>
      </w:pPr>
      <w:r>
        <w:rPr>
          <w:b w:val="0"/>
          <w:i w:val="0"/>
          <w:sz w:val="18"/>
        </w:rPr>
        <w:t>4. Bakanlık kararları ve dönem içi mevzuat değişikliklerinin tebliği; iş ve işlemler genelgesi uygulamasının dönem başı gözden geçirilmesi</w:t>
      </w:r>
    </w:p>
    <w:p>
      <w:pPr>
        <w:spacing w:after="20" w:before="0"/>
        <w:ind w:left="340" w:hanging="340"/>
        <w:jc w:val="both"/>
      </w:pPr>
      <w:r>
        <w:rPr>
          <w:b w:val="0"/>
          <w:i w:val="0"/>
          <w:sz w:val="18"/>
        </w:rPr>
        <w:t>5. Personel değişiklikleri: sınıf ve şube rehber öğretmenlikleri, kulüp danışmanlıkları ile kurul ve komisyon üyeliklerinde zorunlu güncellemeler</w:t>
      </w:r>
    </w:p>
    <w:p>
      <w:pPr>
        <w:spacing w:after="20" w:before="0"/>
        <w:ind w:left="340" w:hanging="340"/>
        <w:jc w:val="both"/>
      </w:pPr>
      <w:r>
        <w:rPr>
          <w:b w:val="0"/>
          <w:i w:val="0"/>
          <w:sz w:val="18"/>
        </w:rPr>
        <w:t>6. Birinci dönemin eğitim ve öğretim yönünden genel değerlendirmesi; 12. sınıfların yükseköğretime hazırlık süreci</w:t>
      </w:r>
    </w:p>
    <w:p>
      <w:pPr>
        <w:spacing w:after="20" w:before="0"/>
        <w:ind w:left="340" w:hanging="340"/>
        <w:jc w:val="both"/>
      </w:pPr>
      <w:r>
        <w:rPr>
          <w:b w:val="0"/>
          <w:i w:val="0"/>
          <w:sz w:val="18"/>
        </w:rPr>
        <w:t>7. Devam-devamsızlık durumu; önleme, müdahale ve yönlendirme komisyonu müdahale planları</w:t>
      </w:r>
    </w:p>
    <w:p>
      <w:pPr>
        <w:spacing w:after="20" w:before="0"/>
        <w:ind w:left="340" w:hanging="340"/>
        <w:jc w:val="both"/>
      </w:pPr>
      <w:r>
        <w:rPr>
          <w:b w:val="0"/>
          <w:i w:val="0"/>
          <w:sz w:val="18"/>
        </w:rPr>
        <w:t>8. Ödül ve disiplin durumunun dönem başı değerlendirmesi; cezaların kaldırılması ve davranış puanı iadesi önerilen öğrenciler</w:t>
      </w:r>
    </w:p>
    <w:p>
      <w:pPr>
        <w:spacing w:after="20" w:before="0"/>
        <w:ind w:left="340" w:hanging="340"/>
        <w:jc w:val="both"/>
      </w:pPr>
      <w:r>
        <w:rPr>
          <w:b w:val="0"/>
          <w:i w:val="0"/>
          <w:sz w:val="18"/>
        </w:rPr>
        <w:t>9. Okul kıyafetine ilişkin öğretmen görüşünün alınması</w:t>
      </w:r>
    </w:p>
    <w:p>
      <w:pPr>
        <w:spacing w:after="20" w:before="0"/>
        <w:ind w:left="340" w:hanging="340"/>
        <w:jc w:val="both"/>
      </w:pPr>
      <w:r>
        <w:rPr>
          <w:b w:val="0"/>
          <w:i w:val="0"/>
          <w:sz w:val="18"/>
        </w:rPr>
        <w:t>10. İkinci dönem sınav takviminin teyidi; ölçme ve değerlendirme uygulamaları ile okul sınav uygulama yönergesinin işleyişi</w:t>
      </w:r>
    </w:p>
    <w:p>
      <w:pPr>
        <w:spacing w:after="20" w:before="0"/>
        <w:ind w:left="340" w:hanging="340"/>
        <w:jc w:val="both"/>
      </w:pPr>
      <w:r>
        <w:rPr>
          <w:b w:val="0"/>
          <w:i w:val="0"/>
          <w:sz w:val="18"/>
        </w:rPr>
        <w:t>11. İstenen başarı düzeyine ulaşamayan öğrencilerin yetiştirilmesi; destekleme ve yetiştirme kurslarının verimliliği</w:t>
      </w:r>
    </w:p>
    <w:p>
      <w:pPr>
        <w:spacing w:after="20" w:before="0"/>
        <w:ind w:left="340" w:hanging="340"/>
        <w:jc w:val="both"/>
      </w:pPr>
      <w:r>
        <w:rPr>
          <w:b w:val="0"/>
          <w:i w:val="0"/>
          <w:sz w:val="18"/>
        </w:rPr>
        <w:t>12. Zümreler ile sınıf ve şube öğretmenler kurullarının ikinci dönem toplantıları</w:t>
      </w:r>
    </w:p>
    <w:p>
      <w:pPr>
        <w:spacing w:after="20" w:before="0"/>
        <w:ind w:left="340" w:hanging="340"/>
        <w:jc w:val="both"/>
      </w:pPr>
      <w:r>
        <w:rPr>
          <w:b w:val="0"/>
          <w:i w:val="0"/>
          <w:sz w:val="18"/>
        </w:rPr>
        <w:t>13. Rehberlik hizmetleri: birinci dönem değerlendirmesi ve ikinci dönem programı</w:t>
      </w:r>
    </w:p>
    <w:p>
      <w:pPr>
        <w:spacing w:after="20" w:before="0"/>
        <w:ind w:left="340" w:hanging="340"/>
        <w:jc w:val="both"/>
      </w:pPr>
      <w:r>
        <w:rPr>
          <w:b w:val="0"/>
          <w:i w:val="0"/>
          <w:sz w:val="18"/>
        </w:rPr>
        <w:t>14. Bilişim araçları uygulamasının değerlendirilmesi; sınıf içi cep telefonu ve dijital araç kullanımı</w:t>
      </w:r>
    </w:p>
    <w:p>
      <w:pPr>
        <w:spacing w:after="20" w:before="0"/>
        <w:ind w:left="340" w:hanging="340"/>
        <w:jc w:val="both"/>
      </w:pPr>
      <w:r>
        <w:rPr>
          <w:b w:val="0"/>
          <w:i w:val="0"/>
          <w:sz w:val="18"/>
        </w:rPr>
        <w:t>15. Okul Kuralları ve Uygulamaları ile diğer okul içi düzenlemelerin uygulama durumu</w:t>
      </w:r>
    </w:p>
    <w:p>
      <w:pPr>
        <w:spacing w:after="20" w:before="0"/>
        <w:ind w:left="340" w:hanging="340"/>
        <w:jc w:val="both"/>
      </w:pPr>
      <w:r>
        <w:rPr>
          <w:b w:val="0"/>
          <w:i w:val="0"/>
          <w:sz w:val="18"/>
        </w:rPr>
        <w:t>16. Sosyal etkinlikler kurulu iş ve işlemlerinin değerlendirilmesi; ikinci dönem etkinlik, gezi ve yarışma planları; nöbet uygulamalarının gözden geçirilmesi</w:t>
      </w:r>
    </w:p>
    <w:p>
      <w:pPr>
        <w:spacing w:after="20" w:before="0"/>
        <w:ind w:left="340" w:hanging="340"/>
        <w:jc w:val="both"/>
      </w:pPr>
      <w:r>
        <w:rPr>
          <w:b w:val="0"/>
          <w:i w:val="0"/>
          <w:sz w:val="18"/>
        </w:rPr>
        <w:t>17. İkinci dönem ara tatili mesleki çalışması; iş sağlığı ve güvenliği ile okul sağlığı hususları</w:t>
      </w:r>
    </w:p>
    <w:p>
      <w:pPr>
        <w:spacing w:after="20" w:before="0"/>
        <w:ind w:left="340" w:hanging="340"/>
        <w:jc w:val="both"/>
      </w:pPr>
      <w:r>
        <w:rPr>
          <w:b w:val="0"/>
          <w:i w:val="0"/>
          <w:sz w:val="18"/>
        </w:rPr>
        <w:t>18.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ikinci dönemin ilk gününde katılımcılara hoş geldiniz diyerek toplantıyı açtı; yarıyıl dinlenmesinin ardından dönemin okula hayırlı olmasını diledi.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Sene başı kurul kararlarının uygulama durumu</w:t>
      </w:r>
    </w:p>
    <w:p>
      <w:pPr>
        <w:spacing w:after="80" w:before="0"/>
        <w:jc w:val="both"/>
      </w:pPr>
      <w:r>
        <w:rPr>
          <w:b w:val="0"/>
          <w:i w:val="0"/>
          <w:sz w:val="20"/>
        </w:rPr>
        <w:t>Eğitim Kurulları ve Zümreleri Yönergesinin 9 uncu maddesinin yedinci fıkrasının (a) bendi uyarınca 01.09.2026 tarihli sene başı kurulunun kararları madde madde okundu. Geç gelme usulünün işleyişi, bilişim araçları uygulaması, nöbet esasları, okul kurallarının uygulanması ve sınav yönergesi süreci, kurul ile komisyon seçim ve görevlendirmelerinin işleyişi ve genelgeden doğan uygulama esasları (randevu sistemi üzerinden veli görüşmeleri, okul kaynaklı deneme ve tarama sınavı yapılmaması, gelişim raporlarının süresinde doldurulması, önlük uygulaması ve öğretmen eğitimi modüllerinin tamamlanma durumu) tek tek değerlendirildi; gerçekleşmeyen kararlar için sorumlu ve takvim güncellendi.</w:t>
      </w:r>
    </w:p>
    <w:p>
      <w:pPr>
        <w:spacing w:before="200" w:after="60"/>
        <w:keepNext/>
        <w:keepLines/>
      </w:pPr>
      <w:r>
        <w:rPr>
          <w:b/>
          <w:i w:val="0"/>
          <w:color w:val="1F3B63"/>
          <w:sz w:val="21"/>
        </w:rPr>
        <w:t>4. Bakanlık kararları ve dönem içi mevzuat değişikliklerinin tebliği</w:t>
      </w:r>
    </w:p>
    <w:p>
      <w:pPr>
        <w:spacing w:after="80" w:before="0"/>
        <w:jc w:val="both"/>
      </w:pPr>
      <w:r>
        <w:rPr>
          <w:b w:val="0"/>
          <w:i w:val="0"/>
          <w:sz w:val="20"/>
        </w:rPr>
        <w:t>Dönem içinde yayımlanan Bakanlık düzenlemeleri ile 2026-2027 iş ve işlemler genelgesinin dönem başı hatırlatmaları tebliğ edildi. Genelgenin sene başı kurulunda tebliğ edildiği ve uygulama esaslarının karara bağlandığı hatırlatılarak şu bentlerin uygulama durumu değerlendirildi: okul kaynaklı deneme ve tarama sınavı yasağı, ortak yazılılarda konu soru dağılım tablosu ile açık uçlu soru esası, Okul Randevu Sistemi üzerinden veli görüşmeleri, 9, 10 ve 11. sınıflarda e-Okul gelişim raporları, önlük uygulaması, fiziksel uygunluk karnesi ölçümlerinin ikinci ölçümünün bu dönemde yapılacağı, öğretmen eğitimi modüllerinin tamamlanması ve ücretsiz dağıtılanlar dışında materyal kullanılmaması. Bakanlık araçları dışında deneme ve tarama sınavı yasağının ve veli görüşmelerinde randevu sistemi uygulamasının ikinci dönemde de aynen sürdüğü özellikle vurgulandı.</w:t>
      </w:r>
    </w:p>
    <w:p>
      <w:pPr>
        <w:spacing w:before="200" w:after="60"/>
        <w:keepNext/>
        <w:keepLines/>
      </w:pPr>
      <w:r>
        <w:rPr>
          <w:b/>
          <w:i w:val="0"/>
          <w:color w:val="1F3B63"/>
          <w:sz w:val="21"/>
        </w:rPr>
        <w:t>5. Personel değişiklikleri ve zorunlu görev güncellemeleri</w:t>
      </w:r>
    </w:p>
    <w:p>
      <w:pPr>
        <w:spacing w:after="80" w:before="0"/>
        <w:jc w:val="both"/>
      </w:pPr>
      <w:r>
        <w:rPr>
          <w:b w:val="0"/>
          <w:i w:val="0"/>
          <w:sz w:val="20"/>
        </w:rPr>
        <w:t>Dönem başında yaşanan personel hareketleri paylaşıldı; ayrılan personele teşekkür edilerek yeni katılanlara hoş geldiniz denildi. Sınıf rehber öğretmenlerinin zorunlu olmadıkça öğrencilerin mezuniyetine kadar değiştirilmemesinin esas olduğu; ataması veya görev yeri değişen ya da uzun süreli izne ayrılan personel nedeniyle zorunlu hâle gelen güncellemelerin aşağıdaki çizelgeyle karara bağlanacağı belirtildi. Kurul, komisyon ve ekip üyeliklerinde boşalma bulunması hâlinde seçim ve belirlemenin yenileneceği ifade edildi.</w:t>
      </w:r>
    </w:p>
    <w:p>
      <w:pPr>
        <w:spacing w:after="80" w:before="0"/>
        <w:jc w:val="both"/>
      </w:pPr>
      <w:r>
        <w:rPr>
          <w:b w:val="0"/>
          <w:i w:val="0"/>
          <w:sz w:val="20"/>
        </w:rPr>
        <w:t>Norm kadro fazlası öğretmenlerin atamalarının herhangi bir takvime bağlı olmaksızın yapıldığı; aylıksız izin, askerlik, doğum ve benzeri nedenlerle ortaya çıkan geçici öğretmen ihtiyacının, geçici görevlendirme yoluyla sırasıyla eğitim bölgesi, ilçe, ilçe grubu ve diğer ilçelerdeki norm kadro fazlası öğretmenlerden karşılandığı hatırlatıldı.</w:t>
      </w:r>
    </w:p>
    <w:tbl>
      <w:tblPr>
        <w:tblStyle w:val="TableGrid"/>
        <w:tblW w:w="10092" w:type="dxa"/>
        <w:jc w:val="center"/>
        <w:tblLayout w:type="fixed"/>
        <w:tblLook w:firstColumn="1" w:firstRow="1" w:lastColumn="0" w:lastRow="0" w:noHBand="0" w:noVBand="1" w:val="04A0"/>
      </w:tblPr>
      <w:tblGrid>
        <w:gridCol w:w="2268"/>
        <w:gridCol w:w="2154"/>
        <w:gridCol w:w="1928"/>
        <w:gridCol w:w="1928"/>
        <w:gridCol w:w="1814"/>
      </w:tblGrid>
      <w:tr>
        <w:tc>
          <w:tcPr>
            <w:tcW w:w="2268" w:type="dxa"/>
            <w:shd w:val="clear" w:fill="F2F2F2"/>
          </w:tcPr>
          <w:p>
            <w:r/>
            <w:r>
              <w:rPr>
                <w:b/>
                <w:i w:val="0"/>
                <w:sz w:val="18"/>
              </w:rPr>
              <w:t>Görev</w:t>
            </w:r>
          </w:p>
        </w:tc>
        <w:tc>
          <w:tcPr>
            <w:tcW w:w="2154" w:type="dxa"/>
            <w:shd w:val="clear" w:fill="F2F2F2"/>
          </w:tcPr>
          <w:p>
            <w:r/>
            <w:r>
              <w:rPr>
                <w:b/>
                <w:i w:val="0"/>
                <w:sz w:val="18"/>
              </w:rPr>
              <w:t>Şube / Kulüp / Kurul</w:t>
            </w:r>
          </w:p>
        </w:tc>
        <w:tc>
          <w:tcPr>
            <w:tcW w:w="1928" w:type="dxa"/>
            <w:shd w:val="clear" w:fill="F2F2F2"/>
          </w:tcPr>
          <w:p>
            <w:r/>
            <w:r>
              <w:rPr>
                <w:b/>
                <w:i w:val="0"/>
                <w:sz w:val="18"/>
              </w:rPr>
              <w:t>Önceki görevli</w:t>
            </w:r>
          </w:p>
        </w:tc>
        <w:tc>
          <w:tcPr>
            <w:tcW w:w="1928" w:type="dxa"/>
            <w:shd w:val="clear" w:fill="F2F2F2"/>
          </w:tcPr>
          <w:p>
            <w:r/>
            <w:r>
              <w:rPr>
                <w:b/>
                <w:i w:val="0"/>
                <w:sz w:val="18"/>
              </w:rPr>
              <w:t>Yeni görevli</w:t>
            </w:r>
          </w:p>
        </w:tc>
        <w:tc>
          <w:tcPr>
            <w:tcW w:w="1814" w:type="dxa"/>
            <w:shd w:val="clear" w:fill="F2F2F2"/>
          </w:tcPr>
          <w:p>
            <w:r/>
            <w:r>
              <w:rPr>
                <w:b/>
                <w:i w:val="0"/>
                <w:sz w:val="18"/>
              </w:rPr>
              <w:t>Gerekçe (zorunlu hâl)</w:t>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bl>
    <w:p>
      <w:pPr>
        <w:spacing w:after="60" w:before="0"/>
      </w:pP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200" w:after="60"/>
        <w:keepNext/>
        <w:keepLines/>
      </w:pPr>
      <w:r>
        <w:rPr>
          <w:b/>
          <w:i w:val="0"/>
          <w:color w:val="1F3B63"/>
          <w:sz w:val="21"/>
        </w:rPr>
        <w:t>6. Birinci dönemin genel değerlendirmesi; yükseköğretime hazırlık süreci</w:t>
      </w:r>
    </w:p>
    <w:p>
      <w:pPr>
        <w:spacing w:after="80" w:before="0"/>
        <w:jc w:val="both"/>
      </w:pPr>
      <w:r>
        <w:rPr>
          <w:b w:val="0"/>
          <w:i w:val="0"/>
          <w:sz w:val="20"/>
        </w:rPr>
        <w:t>Birinci dönem sonu analizleri esas alınarak ders ve şube bazlı başarı ortalamaları, zümre sınav analizleri ve dönem sonu puanları sayısal özetle sunuldu; kişisel veriye yer verilmedi. Teşekkür, takdir, üstün başarı ve onur belgesi istatistikleri paylaşıldı.</w:t>
      </w:r>
    </w:p>
    <w:p>
      <w:pPr>
        <w:spacing w:after="80" w:before="0"/>
        <w:jc w:val="both"/>
      </w:pPr>
      <w:r>
        <w:rPr>
          <w:b w:val="0"/>
          <w:i w:val="0"/>
          <w:sz w:val="20"/>
        </w:rPr>
        <w:t>12. sınıfların yükseköğretime hazırlık süreci; ders içi ölçme sonuçları, ortak yazılı sınav analizleri, Bakanlıkça sağlanan ölçme araçlarından elde edilen veriler, destekleme ve yetiştirme kursu ile hedef temelli destek eğitiminin devam ve kazanım izlemeleri ve rehberlik servisinin yönlendirme çalışmaları üzerinden değerlendirildi. Genelge uyarınca okul kaynaklı deneme sınavı sonuçlarının bu değerlendirmede kullanılamayacağı; 12. sınıfların ders dışı zamanlarının kurslarla ve planlı bireysel çalışmayla değerlendirilmesi için rehberlik servisi ile ders öğretmenlerinin birlikte planlama yapacağı belirtildi. Sonuçların zümrelerin ikinci dönem eylem planlarına yansıtılacağı kararlaştırıldı.</w:t>
      </w:r>
    </w:p>
    <w:p>
      <w:pPr>
        <w:spacing w:before="200" w:after="60"/>
        <w:keepNext/>
        <w:keepLines/>
      </w:pPr>
      <w:r>
        <w:rPr>
          <w:b/>
          <w:i w:val="0"/>
          <w:color w:val="1F3B63"/>
          <w:sz w:val="21"/>
        </w:rPr>
        <w:t>7. Devam-devamsızlık durumu ve müdahale planları</w:t>
      </w:r>
    </w:p>
    <w:p>
      <w:pPr>
        <w:spacing w:after="80" w:before="0"/>
        <w:jc w:val="both"/>
      </w:pPr>
      <w:r>
        <w:rPr>
          <w:b w:val="0"/>
          <w:i w:val="0"/>
          <w:sz w:val="20"/>
        </w:rPr>
        <w:t>Devam ve devamsızlık tablosu gözden geçirildi; devamsızlığı on günü aşan öğrenciler için tebligat ve izleme durumu raporlandı. Sınıf tekrarı riski taşıyan öğrenciler için önleme, müdahale ve yönlendirme komisyonunca hazırlanan müdahale planlarının uygulanması değerlendirildi. Devamsızlığı artan öğrencilerin velileriyle görüşmelerin randevu sistemi üzerinden titizlikle sürdürülmesi istendi.</w:t>
      </w:r>
    </w:p>
    <w:p>
      <w:pPr>
        <w:spacing w:before="200" w:after="60"/>
        <w:keepNext/>
        <w:keepLines/>
      </w:pPr>
      <w:r>
        <w:rPr>
          <w:b/>
          <w:i w:val="0"/>
          <w:color w:val="1F3B63"/>
          <w:sz w:val="21"/>
        </w:rPr>
        <w:t>8. Ödül ve disiplin durumunun değerlendirilmesi; ceza kaldırma ve puan iadesi</w:t>
      </w:r>
    </w:p>
    <w:p>
      <w:pPr>
        <w:spacing w:after="80" w:before="0"/>
        <w:jc w:val="both"/>
      </w:pPr>
      <w:r>
        <w:rPr>
          <w:b w:val="0"/>
          <w:i w:val="0"/>
          <w:sz w:val="20"/>
        </w:rPr>
        <w:t>Okul öğrenci ödül ve disiplin kurulunun dönem başlarında okulun disiplin durumunu gözden geçireceği hatırlatılarak dönem başı değerlendirmesi yapıldı. Ortaöğretim Kurumları Yönetmeliğinin 171 inci maddesinin ikinci fıkrası uyarınca ceza alan ve davranış puanı indirilmiş olup davranışları olumlu yönde değişen öğrencilerin durumunun ödül ve disiplin kurulunca değerlendirildiği; cezalarının kaldırılması ve davranış puanlarının iadesi öngörülen öğrencilerin öğretmenler kuruluna sunulduğu belirtildi. Kurulca cezası kaldırılan ve puanı iade edilen öğrencilerin yeni durumunun e-Okul'a işleneceği, kaldırılan cezaların beş iş günü içinde öğrencinin dosyasından çıkarılacağı ifade edildi.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515"/>
        <w:gridCol w:w="2154"/>
        <w:gridCol w:w="2494"/>
        <w:gridCol w:w="1928"/>
      </w:tblGrid>
      <w:tr>
        <w:tc>
          <w:tcPr>
            <w:tcW w:w="3515" w:type="dxa"/>
            <w:shd w:val="clear" w:fill="F2F2F2"/>
          </w:tcPr>
          <w:p>
            <w:r/>
            <w:r>
              <w:rPr>
                <w:b/>
                <w:i w:val="0"/>
                <w:sz w:val="18"/>
              </w:rPr>
              <w:t>Ödül ve disiplin kurulunun değerlendirme kararı (tarih/no)</w:t>
            </w:r>
          </w:p>
        </w:tc>
        <w:tc>
          <w:tcPr>
            <w:tcW w:w="2154" w:type="dxa"/>
            <w:shd w:val="clear" w:fill="F2F2F2"/>
          </w:tcPr>
          <w:p>
            <w:r/>
            <w:r>
              <w:rPr>
                <w:b/>
                <w:i w:val="0"/>
                <w:sz w:val="18"/>
              </w:rPr>
              <w:t>Kurula sunulan öğrenci sayısı</w:t>
            </w:r>
          </w:p>
        </w:tc>
        <w:tc>
          <w:tcPr>
            <w:tcW w:w="2494" w:type="dxa"/>
            <w:shd w:val="clear" w:fill="F2F2F2"/>
          </w:tcPr>
          <w:p>
            <w:r/>
            <w:r>
              <w:rPr>
                <w:b/>
                <w:i w:val="0"/>
                <w:sz w:val="18"/>
              </w:rPr>
              <w:t>Ceza kaldırma ve puan iadesi uygun görülen</w:t>
            </w:r>
          </w:p>
        </w:tc>
        <w:tc>
          <w:tcPr>
            <w:tcW w:w="1928" w:type="dxa"/>
            <w:shd w:val="clear" w:fill="F2F2F2"/>
          </w:tcPr>
          <w:p>
            <w:r/>
            <w:r>
              <w:rPr>
                <w:b/>
                <w:i w:val="0"/>
                <w:sz w:val="18"/>
              </w:rPr>
              <w:t>Uygun görülmeyen</w:t>
            </w:r>
          </w:p>
        </w:tc>
      </w:tr>
      <w:tr>
        <w:tc>
          <w:tcPr>
            <w:tcW w:w="3515" w:type="dxa"/>
          </w:tcPr>
          <w:p>
            <w:r/>
          </w:p>
        </w:tc>
        <w:tc>
          <w:tcPr>
            <w:tcW w:w="2154" w:type="dxa"/>
          </w:tcPr>
          <w:p>
            <w:r/>
          </w:p>
        </w:tc>
        <w:tc>
          <w:tcPr>
            <w:tcW w:w="2494" w:type="dxa"/>
          </w:tcPr>
          <w:p>
            <w:r/>
          </w:p>
        </w:tc>
        <w:tc>
          <w:tcPr>
            <w:tcW w:w="1928" w:type="dxa"/>
          </w:tcPr>
          <w:p>
            <w:r/>
          </w:p>
        </w:tc>
      </w:tr>
      <w:tr>
        <w:tc>
          <w:tcPr>
            <w:tcW w:w="3515" w:type="dxa"/>
          </w:tcPr>
          <w:p>
            <w:r/>
          </w:p>
        </w:tc>
        <w:tc>
          <w:tcPr>
            <w:tcW w:w="2154" w:type="dxa"/>
          </w:tcPr>
          <w:p>
            <w:r/>
          </w:p>
        </w:tc>
        <w:tc>
          <w:tcPr>
            <w:tcW w:w="2494" w:type="dxa"/>
          </w:tcPr>
          <w:p>
            <w:r/>
          </w:p>
        </w:tc>
        <w:tc>
          <w:tcPr>
            <w:tcW w:w="1928"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200" w:after="60"/>
        <w:keepNext/>
        <w:keepLines/>
      </w:pPr>
      <w:r>
        <w:rPr>
          <w:b/>
          <w:i w:val="0"/>
          <w:color w:val="1F3B63"/>
          <w:sz w:val="21"/>
        </w:rPr>
        <w:t>9. Okul kıyafetine ilişkin öğretmen görüşünün alınması</w:t>
      </w:r>
    </w:p>
    <w:p>
      <w:pPr>
        <w:spacing w:after="80" w:before="0"/>
        <w:jc w:val="both"/>
      </w:pPr>
      <w:r>
        <w:rPr>
          <w:b w:val="0"/>
          <w:i w:val="0"/>
          <w:sz w:val="20"/>
        </w:rPr>
        <w:t>Kılık-Kıyafet Yönetmeliğinin 3 üncü maddesinin birinci fıkrası uyarınca okul kıyafetinin; okul-aile birliği yönetim kurulunun ve ikinci dönem başında yapılacak öğretmenler kurulunda öğretmenlerin de görüşü alınarak, kısıtlayıcı ayrıntılara yer verilmeden okul müdürlüğünce belirlendiği ve görselinin okulun internet sayfasında yayımlandığı belirtildi. Belirlenen kıyafetin dört eğitim ve öğretim yılı geçmeden değiştirilemeyeceği; değişiklik hâlinde ara sınıfların mevcut kıyafeti sürdürebileceği; veliye mali yük getirecek özel kıyafet aldırılamayacağı hatırlatıldı. Mevcut uygulamanın kaçıncı yılında olunduğunu gösteren çizelge üzerinden görüşler alındı.</w:t>
      </w:r>
    </w:p>
    <w:tbl>
      <w:tblPr>
        <w:tblStyle w:val="TableGrid"/>
        <w:tblW w:w="10091" w:type="dxa"/>
        <w:jc w:val="center"/>
        <w:tblLayout w:type="fixed"/>
        <w:tblLook w:firstColumn="1" w:firstRow="1" w:lastColumn="0" w:lastRow="0" w:noHBand="0" w:noVBand="1" w:val="04A0"/>
      </w:tblPr>
      <w:tblGrid>
        <w:gridCol w:w="3628"/>
        <w:gridCol w:w="6463"/>
      </w:tblGrid>
      <w:tr>
        <w:tc>
          <w:tcPr>
            <w:tcW w:w="3628" w:type="dxa"/>
            <w:shd w:val="clear" w:fill="F2F2F2"/>
          </w:tcPr>
          <w:p>
            <w:r/>
            <w:r>
              <w:rPr>
                <w:b/>
                <w:i w:val="0"/>
                <w:sz w:val="18"/>
              </w:rPr>
              <w:t>Görüş çizelgesi</w:t>
            </w:r>
          </w:p>
        </w:tc>
        <w:tc>
          <w:tcPr>
            <w:tcW w:w="6463" w:type="dxa"/>
            <w:shd w:val="clear" w:fill="F2F2F2"/>
          </w:tcPr>
          <w:p>
            <w:r/>
          </w:p>
        </w:tc>
      </w:tr>
      <w:tr>
        <w:tc>
          <w:tcPr>
            <w:tcW w:w="3628" w:type="dxa"/>
          </w:tcPr>
          <w:p>
            <w:r/>
            <w:r>
              <w:rPr>
                <w:b w:val="0"/>
                <w:i w:val="0"/>
                <w:sz w:val="18"/>
              </w:rPr>
              <w:t>Mevcut okul kıyafetinin uygulanmaya başlandığı öğretim yılı</w:t>
            </w:r>
          </w:p>
        </w:tc>
        <w:tc>
          <w:tcPr>
            <w:tcW w:w="6463" w:type="dxa"/>
          </w:tcPr>
          <w:p>
            <w:r/>
            <w:r>
              <w:rPr>
                <w:b w:val="0"/>
                <w:i w:val="0"/>
                <w:color w:val="C00000"/>
                <w:sz w:val="18"/>
              </w:rPr>
              <w:t>[……………………]</w:t>
            </w:r>
            <w:r>
              <w:rPr>
                <w:b w:val="0"/>
                <w:i w:val="0"/>
                <w:sz w:val="18"/>
              </w:rPr>
              <w:t xml:space="preserve"> — dört eğitim ve öğretim yılı geçmeden değiştirilemez</w:t>
            </w:r>
          </w:p>
        </w:tc>
      </w:tr>
      <w:tr>
        <w:tc>
          <w:tcPr>
            <w:tcW w:w="3628" w:type="dxa"/>
          </w:tcPr>
          <w:p>
            <w:r/>
            <w:r>
              <w:rPr>
                <w:b w:val="0"/>
                <w:i w:val="0"/>
                <w:sz w:val="18"/>
              </w:rPr>
              <w:t>Kurulda oluşan görüş</w:t>
            </w:r>
          </w:p>
        </w:tc>
        <w:tc>
          <w:tcPr>
            <w:tcW w:w="6463" w:type="dxa"/>
          </w:tcPr>
          <w:p>
            <w:r/>
            <w:r>
              <w:rPr>
                <w:b w:val="0"/>
                <w:i w:val="0"/>
                <w:sz w:val="18"/>
              </w:rPr>
              <w:t>☐ Mevcut okul kıyafetinin sürdürülmesi uygundur    ☐ Değişiklik önerilir (gelecek öğretim yılından geçerli)</w:t>
            </w:r>
          </w:p>
        </w:tc>
      </w:tr>
      <w:tr>
        <w:tc>
          <w:tcPr>
            <w:tcW w:w="3628" w:type="dxa"/>
          </w:tcPr>
          <w:p>
            <w:r/>
            <w:r>
              <w:rPr>
                <w:b w:val="0"/>
                <w:i w:val="0"/>
                <w:sz w:val="18"/>
              </w:rPr>
              <w:t>Değişiklik önerisinin özeti (varsa)</w:t>
            </w:r>
          </w:p>
        </w:tc>
        <w:tc>
          <w:tcPr>
            <w:tcW w:w="6463" w:type="dxa"/>
          </w:tcPr>
          <w:p>
            <w:r/>
          </w:p>
        </w:tc>
      </w:tr>
      <w:tr>
        <w:tc>
          <w:tcPr>
            <w:tcW w:w="3628" w:type="dxa"/>
          </w:tcPr>
          <w:p>
            <w:r/>
            <w:r>
              <w:rPr>
                <w:b w:val="0"/>
                <w:i w:val="0"/>
                <w:sz w:val="18"/>
              </w:rPr>
              <w:t>Karşı görüşler (varsa)</w:t>
            </w:r>
          </w:p>
        </w:tc>
        <w:tc>
          <w:tcPr>
            <w:tcW w:w="6463" w:type="dxa"/>
          </w:tcPr>
          <w:p>
            <w:r/>
          </w:p>
        </w:tc>
      </w:tr>
    </w:tbl>
    <w:p>
      <w:pPr>
        <w:spacing w:after="60" w:before="0"/>
      </w:pP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200" w:after="60"/>
        <w:keepNext/>
        <w:keepLines/>
      </w:pPr>
      <w:r>
        <w:rPr>
          <w:b/>
          <w:i w:val="0"/>
          <w:color w:val="1F3B63"/>
          <w:sz w:val="21"/>
        </w:rPr>
        <w:t>10. İkinci dönem sınav takviminin teyidi ve sınav uygulama yönergesinin işleyişi</w:t>
      </w:r>
    </w:p>
    <w:p>
      <w:pPr>
        <w:spacing w:after="80" w:before="0"/>
        <w:jc w:val="both"/>
      </w:pPr>
      <w:r>
        <w:rPr>
          <w:b w:val="0"/>
          <w:i w:val="0"/>
          <w:sz w:val="20"/>
        </w:rPr>
        <w:t>Sınav takviminin öğretim yılı başında ilan edildiği, değişikliğin ancak mücbir sebeple ve il veya ilçe millî eğitim müdürlüğü onayıyla yapılabileceği belirtilerek ikinci dönem sınav pencereleri teyit edildi. Okul sınav uygulama yönergesinin birinci dönem uygulaması — teslim süreleri, sınav evrakının ilgili zümrece karşılıklı sayımla teslimi ve sınavı olan ders öğretmeninin sınav saatinde okulda hazır bulunması ile mazeret akışı — değerlendirildi; aksayan yönlerin zümre başkanları kuruluna bildirileceği ifade edildi.</w:t>
      </w:r>
    </w:p>
    <w:p>
      <w:pPr>
        <w:spacing w:after="80" w:before="0"/>
        <w:jc w:val="both"/>
      </w:pPr>
      <w:r>
        <w:rPr>
          <w:b w:val="0"/>
          <w:i w:val="0"/>
          <w:sz w:val="20"/>
        </w:rPr>
        <w:t>Okul genelinde gerçekleştirilen ortak yazılı sınavlarda konu soru dağılım tablolarının esas alınacağı ve soruların açık uçlu ya da açık uçlu ile kısa cevaplı olacağı; birinci dönem ortak yazılılarının bu ölçütlere uygunluğunun zümre analizleriyle değerlendirileceği ve aksaklıkların ikinci dönem soru hazırlama sürecine yansıtılacağı belirtildi. İkinci dönemde de okul kaynaklı deneme, hazır bulunuşluk ve tarama sınavı uygulanmayacağı yinelendi. Ortak sınav saatlerinin nasıl uygulanacağının takvimle birlikte ilan edileceği ifade edildi.</w:t>
      </w:r>
    </w:p>
    <w:tbl>
      <w:tblPr>
        <w:tblStyle w:val="TableGrid"/>
        <w:tblW w:w="10092" w:type="dxa"/>
        <w:jc w:val="center"/>
        <w:tblLayout w:type="fixed"/>
        <w:tblLook w:firstColumn="1" w:firstRow="1" w:lastColumn="0" w:lastRow="0" w:noHBand="0" w:noVBand="1" w:val="04A0"/>
      </w:tblPr>
      <w:tblGrid>
        <w:gridCol w:w="3402"/>
        <w:gridCol w:w="2381"/>
        <w:gridCol w:w="4309"/>
      </w:tblGrid>
      <w:tr>
        <w:tc>
          <w:tcPr>
            <w:tcW w:w="3402" w:type="dxa"/>
            <w:shd w:val="clear" w:fill="F2F2F2"/>
          </w:tcPr>
          <w:p>
            <w:r/>
            <w:r>
              <w:rPr>
                <w:b/>
                <w:i w:val="0"/>
                <w:sz w:val="18"/>
              </w:rPr>
              <w:t>Sınav dönemi</w:t>
            </w:r>
          </w:p>
        </w:tc>
        <w:tc>
          <w:tcPr>
            <w:tcW w:w="2381" w:type="dxa"/>
            <w:shd w:val="clear" w:fill="F2F2F2"/>
          </w:tcPr>
          <w:p>
            <w:r/>
            <w:r>
              <w:rPr>
                <w:b/>
                <w:i w:val="0"/>
                <w:sz w:val="18"/>
              </w:rPr>
              <w:t>Mevzuat penceresi</w:t>
            </w:r>
          </w:p>
        </w:tc>
        <w:tc>
          <w:tcPr>
            <w:tcW w:w="4309" w:type="dxa"/>
            <w:shd w:val="clear" w:fill="F2F2F2"/>
          </w:tcPr>
          <w:p>
            <w:r/>
            <w:r>
              <w:rPr>
                <w:b/>
                <w:i w:val="0"/>
                <w:sz w:val="18"/>
              </w:rPr>
              <w:t>Okul sınav takvimiyle uyum</w:t>
            </w:r>
          </w:p>
        </w:tc>
      </w:tr>
      <w:tr>
        <w:tc>
          <w:tcPr>
            <w:tcW w:w="3402" w:type="dxa"/>
          </w:tcPr>
          <w:p>
            <w:r/>
            <w:r>
              <w:rPr>
                <w:b w:val="0"/>
                <w:i w:val="0"/>
                <w:sz w:val="18"/>
              </w:rPr>
              <w:t>İkinci dönem birinci yazılı ve uygulamalı sınavlar</w:t>
            </w:r>
          </w:p>
        </w:tc>
        <w:tc>
          <w:tcPr>
            <w:tcW w:w="2381" w:type="dxa"/>
          </w:tcPr>
          <w:p>
            <w:r/>
            <w:r>
              <w:rPr>
                <w:b w:val="0"/>
                <w:i w:val="0"/>
                <w:sz w:val="18"/>
              </w:rPr>
              <w:t>29 Mart – 9 Nisan 2027</w:t>
            </w:r>
          </w:p>
        </w:tc>
        <w:tc>
          <w:tcPr>
            <w:tcW w:w="4309" w:type="dxa"/>
          </w:tcPr>
          <w:p>
            <w:r/>
            <w:r>
              <w:rPr>
                <w:b w:val="0"/>
                <w:i w:val="0"/>
                <w:sz w:val="18"/>
              </w:rPr>
              <w:t>☐ Teyit edildi   ☐ Değişiklik gerekir (mücbir sebep ve millî eğitim müdürlüğü onayı)</w:t>
            </w:r>
          </w:p>
        </w:tc>
      </w:tr>
      <w:tr>
        <w:tc>
          <w:tcPr>
            <w:tcW w:w="3402" w:type="dxa"/>
          </w:tcPr>
          <w:p>
            <w:r/>
            <w:r>
              <w:rPr>
                <w:b w:val="0"/>
                <w:i w:val="0"/>
                <w:sz w:val="18"/>
              </w:rPr>
              <w:t>İkinci dönem ikinci yazılı ve uygulamalı sınavlar</w:t>
            </w:r>
          </w:p>
        </w:tc>
        <w:tc>
          <w:tcPr>
            <w:tcW w:w="2381" w:type="dxa"/>
          </w:tcPr>
          <w:p>
            <w:r/>
            <w:r>
              <w:rPr>
                <w:b w:val="0"/>
                <w:i w:val="0"/>
                <w:sz w:val="18"/>
              </w:rPr>
              <w:t>24 Mayıs – 4 Haziran 2027</w:t>
            </w:r>
          </w:p>
        </w:tc>
        <w:tc>
          <w:tcPr>
            <w:tcW w:w="4309" w:type="dxa"/>
          </w:tcPr>
          <w:p>
            <w:r/>
            <w:r>
              <w:rPr>
                <w:b w:val="0"/>
                <w:i w:val="0"/>
                <w:sz w:val="18"/>
              </w:rPr>
              <w:t>☐ Teyit edildi   ☐ Değişiklik gerekir (mücbir sebep ve millî eğitim müdürlüğü onayı)</w:t>
            </w:r>
          </w:p>
        </w:tc>
      </w:tr>
    </w:tbl>
    <w:p>
      <w:pPr>
        <w:spacing w:after="60" w:before="0"/>
      </w:pP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200" w:after="60"/>
        <w:keepNext/>
        <w:keepLines/>
      </w:pPr>
      <w:r>
        <w:rPr>
          <w:b/>
          <w:i w:val="0"/>
          <w:color w:val="1F3B63"/>
          <w:sz w:val="21"/>
        </w:rPr>
        <w:t>11. Yetiştirme çalışmaları ve destekleme kurslarının verimliliği</w:t>
      </w:r>
    </w:p>
    <w:p>
      <w:pPr>
        <w:spacing w:after="80" w:before="0"/>
        <w:jc w:val="both"/>
      </w:pPr>
      <w:r>
        <w:rPr>
          <w:b w:val="0"/>
          <w:i w:val="0"/>
          <w:sz w:val="20"/>
        </w:rPr>
        <w:t>Birinci dönem sonuçlarına göre desteğe ihtiyaç duyan öğrenciler için yetiştirme tedbirleri ile destekleme ve yetiştirme kurslarının verimliliği değerlendirildi; kursların devam ve başarı verileri paylaşıldı. Zümrelerden ders bazlı telafi önerilerini yazılı olarak iletmeleri istendi.</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200" w:after="60"/>
        <w:keepNext/>
        <w:keepLines/>
      </w:pPr>
      <w:r>
        <w:rPr>
          <w:b/>
          <w:i w:val="0"/>
          <w:color w:val="1F3B63"/>
          <w:sz w:val="21"/>
        </w:rPr>
        <w:t>12. Zümreler ile sınıf ve şube öğretmenler kurullarının ikinci dönem toplantıları</w:t>
      </w:r>
    </w:p>
    <w:p>
      <w:pPr>
        <w:spacing w:after="80" w:before="0"/>
        <w:jc w:val="both"/>
      </w:pPr>
      <w:r>
        <w:rPr>
          <w:b w:val="0"/>
          <w:i w:val="0"/>
          <w:sz w:val="20"/>
        </w:rPr>
        <w:t>Zümreler ile sınıf ve şube öğretmenler kurullarının ikinci dönem toplantı takvimi paylaşıldı; toplantıların ders saatleri dışında ve bütün öğretmenlerin katılabileceği saat aralıklarında planlandığı, tutanakların süresinde teslim edileceği belirtildi. Zümrelerin nisan toplantısının Yönergenin 12 nci maddesinin dördüncü fıkrası gereğince zorunlu olağan toplantı olduğu hatırlatıldı.</w:t>
      </w:r>
    </w:p>
    <w:tbl>
      <w:tblPr>
        <w:tblStyle w:val="TableGrid"/>
        <w:tblW w:w="10091" w:type="dxa"/>
        <w:jc w:val="center"/>
        <w:tblLayout w:type="fixed"/>
        <w:tblLook w:firstColumn="1" w:firstRow="1" w:lastColumn="0" w:lastRow="0" w:noHBand="0" w:noVBand="1" w:val="04A0"/>
      </w:tblPr>
      <w:tblGrid>
        <w:gridCol w:w="4082"/>
        <w:gridCol w:w="2154"/>
        <w:gridCol w:w="3855"/>
      </w:tblGrid>
      <w:tr>
        <w:tc>
          <w:tcPr>
            <w:tcW w:w="4082" w:type="dxa"/>
            <w:shd w:val="clear" w:fill="F2F2F2"/>
          </w:tcPr>
          <w:p>
            <w:r/>
            <w:r>
              <w:rPr>
                <w:b/>
                <w:i w:val="0"/>
                <w:sz w:val="18"/>
              </w:rPr>
              <w:t>Organ / Toplantı</w:t>
            </w:r>
          </w:p>
        </w:tc>
        <w:tc>
          <w:tcPr>
            <w:tcW w:w="2154" w:type="dxa"/>
            <w:shd w:val="clear" w:fill="F2F2F2"/>
          </w:tcPr>
          <w:p>
            <w:r/>
            <w:r>
              <w:rPr>
                <w:b/>
                <w:i w:val="0"/>
                <w:sz w:val="18"/>
              </w:rPr>
              <w:t>Tarih</w:t>
            </w:r>
          </w:p>
        </w:tc>
        <w:tc>
          <w:tcPr>
            <w:tcW w:w="3855" w:type="dxa"/>
            <w:shd w:val="clear" w:fill="F2F2F2"/>
          </w:tcPr>
          <w:p>
            <w:r/>
            <w:r>
              <w:rPr>
                <w:b/>
                <w:i w:val="0"/>
                <w:sz w:val="18"/>
              </w:rPr>
              <w:t>Dayanak / Kaynak</w:t>
            </w:r>
          </w:p>
        </w:tc>
      </w:tr>
      <w:tr>
        <w:tc>
          <w:tcPr>
            <w:tcW w:w="4082" w:type="dxa"/>
          </w:tcPr>
          <w:p>
            <w:r/>
            <w:r>
              <w:rPr>
                <w:b w:val="0"/>
                <w:i w:val="0"/>
                <w:sz w:val="18"/>
              </w:rPr>
              <w:t>Eğitim kurumu sınıf ve alan zümreleri (dönem başı)</w:t>
            </w:r>
          </w:p>
        </w:tc>
        <w:tc>
          <w:tcPr>
            <w:tcW w:w="2154" w:type="dxa"/>
          </w:tcPr>
          <w:p>
            <w:r/>
            <w:r>
              <w:rPr>
                <w:b w:val="0"/>
                <w:i w:val="0"/>
                <w:sz w:val="18"/>
              </w:rPr>
              <w:t>09.02.2027 Salı</w:t>
            </w:r>
          </w:p>
        </w:tc>
        <w:tc>
          <w:tcPr>
            <w:tcW w:w="3855" w:type="dxa"/>
          </w:tcPr>
          <w:p>
            <w:r/>
            <w:r>
              <w:rPr>
                <w:b w:val="0"/>
                <w:i w:val="0"/>
                <w:sz w:val="18"/>
              </w:rPr>
              <w:t>Yönerge EK-2; il millî eğitim müdürlüğü takvimi</w:t>
            </w:r>
          </w:p>
        </w:tc>
      </w:tr>
      <w:tr>
        <w:tc>
          <w:tcPr>
            <w:tcW w:w="4082" w:type="dxa"/>
          </w:tcPr>
          <w:p>
            <w:r/>
            <w:r>
              <w:rPr>
                <w:b w:val="0"/>
                <w:i w:val="0"/>
                <w:sz w:val="18"/>
              </w:rPr>
              <w:t>Zümre başkanları kurulu (dönem başı)</w:t>
            </w:r>
          </w:p>
        </w:tc>
        <w:tc>
          <w:tcPr>
            <w:tcW w:w="2154" w:type="dxa"/>
          </w:tcPr>
          <w:p>
            <w:r/>
            <w:r>
              <w:rPr>
                <w:b w:val="0"/>
                <w:i w:val="0"/>
                <w:sz w:val="18"/>
              </w:rPr>
              <w:t>10.02.2027 Çarşamba</w:t>
            </w:r>
          </w:p>
        </w:tc>
        <w:tc>
          <w:tcPr>
            <w:tcW w:w="3855" w:type="dxa"/>
          </w:tcPr>
          <w:p>
            <w:r/>
            <w:r>
              <w:rPr>
                <w:b w:val="0"/>
                <w:i w:val="0"/>
                <w:sz w:val="18"/>
              </w:rPr>
              <w:t>Yönerge EK-1</w:t>
            </w:r>
          </w:p>
        </w:tc>
      </w:tr>
      <w:tr>
        <w:tc>
          <w:tcPr>
            <w:tcW w:w="4082" w:type="dxa"/>
          </w:tcPr>
          <w:p>
            <w:r/>
            <w:r>
              <w:rPr>
                <w:b w:val="0"/>
                <w:i w:val="0"/>
                <w:sz w:val="18"/>
              </w:rPr>
              <w:t>Ödül ve disiplin kurulu dönem başı değerlendirmesi</w:t>
            </w:r>
          </w:p>
        </w:tc>
        <w:tc>
          <w:tcPr>
            <w:tcW w:w="2154" w:type="dxa"/>
          </w:tcPr>
          <w:p>
            <w:r/>
            <w:r>
              <w:rPr>
                <w:b w:val="0"/>
                <w:i w:val="0"/>
                <w:sz w:val="18"/>
              </w:rPr>
              <w:t>18.02.2027</w:t>
            </w:r>
          </w:p>
        </w:tc>
        <w:tc>
          <w:tcPr>
            <w:tcW w:w="3855" w:type="dxa"/>
          </w:tcPr>
          <w:p>
            <w:r/>
            <w:r>
              <w:rPr>
                <w:b w:val="0"/>
                <w:i w:val="0"/>
                <w:sz w:val="18"/>
              </w:rPr>
              <w:t>Ortaöğretim Kurumları Yönetmeliği md.189/1-f; okul planı</w:t>
            </w:r>
          </w:p>
        </w:tc>
      </w:tr>
      <w:tr>
        <w:tc>
          <w:tcPr>
            <w:tcW w:w="4082" w:type="dxa"/>
          </w:tcPr>
          <w:p>
            <w:r/>
            <w:r>
              <w:rPr>
                <w:b w:val="0"/>
                <w:i w:val="0"/>
                <w:sz w:val="18"/>
              </w:rPr>
              <w:t>Rehberlik hizmetleri yürütme komisyonu dönem toplantısı</w:t>
            </w:r>
          </w:p>
        </w:tc>
        <w:tc>
          <w:tcPr>
            <w:tcW w:w="2154" w:type="dxa"/>
          </w:tcPr>
          <w:p>
            <w:r/>
            <w:r>
              <w:rPr>
                <w:b w:val="0"/>
                <w:i w:val="0"/>
                <w:color w:val="C00000"/>
                <w:sz w:val="18"/>
              </w:rPr>
              <w:t>[……………………]</w:t>
            </w:r>
            <w:r>
              <w:rPr>
                <w:b w:val="0"/>
                <w:i w:val="0"/>
                <w:sz w:val="18"/>
              </w:rPr>
              <w:t>/02/2027</w:t>
            </w:r>
          </w:p>
        </w:tc>
        <w:tc>
          <w:tcPr>
            <w:tcW w:w="3855" w:type="dxa"/>
          </w:tcPr>
          <w:p>
            <w:r/>
            <w:r>
              <w:rPr>
                <w:b w:val="0"/>
                <w:i w:val="0"/>
                <w:sz w:val="18"/>
              </w:rPr>
              <w:t>Rehberlik Yönetmeliği md.16/6; okul planlaması</w:t>
            </w:r>
          </w:p>
        </w:tc>
      </w:tr>
      <w:tr>
        <w:tc>
          <w:tcPr>
            <w:tcW w:w="4082" w:type="dxa"/>
          </w:tcPr>
          <w:p>
            <w:r/>
            <w:r>
              <w:rPr>
                <w:b w:val="0"/>
                <w:i w:val="0"/>
                <w:sz w:val="18"/>
              </w:rPr>
              <w:t>Öğretmenler kurulu ara toplantısı</w:t>
            </w:r>
          </w:p>
        </w:tc>
        <w:tc>
          <w:tcPr>
            <w:tcW w:w="2154" w:type="dxa"/>
          </w:tcPr>
          <w:p>
            <w:r/>
            <w:r>
              <w:rPr>
                <w:b w:val="0"/>
                <w:i w:val="0"/>
                <w:sz w:val="18"/>
              </w:rPr>
              <w:t>15.03.2027</w:t>
            </w:r>
          </w:p>
        </w:tc>
        <w:tc>
          <w:tcPr>
            <w:tcW w:w="3855" w:type="dxa"/>
          </w:tcPr>
          <w:p>
            <w:r/>
            <w:r>
              <w:rPr>
                <w:b w:val="0"/>
                <w:i w:val="0"/>
                <w:sz w:val="18"/>
              </w:rPr>
              <w:t>Yönerge md.9/4 — mevzuat zorunluluğu değil, okul planı</w:t>
            </w:r>
          </w:p>
        </w:tc>
      </w:tr>
      <w:tr>
        <w:tc>
          <w:tcPr>
            <w:tcW w:w="4082" w:type="dxa"/>
          </w:tcPr>
          <w:p>
            <w:r/>
            <w:r>
              <w:rPr>
                <w:b w:val="0"/>
                <w:i w:val="0"/>
                <w:sz w:val="18"/>
              </w:rPr>
              <w:t>İş sağlığı ve güvenliği kurulu</w:t>
            </w:r>
          </w:p>
        </w:tc>
        <w:tc>
          <w:tcPr>
            <w:tcW w:w="2154" w:type="dxa"/>
          </w:tcPr>
          <w:p>
            <w:r/>
            <w:r>
              <w:rPr>
                <w:b w:val="0"/>
                <w:i w:val="0"/>
                <w:sz w:val="18"/>
              </w:rPr>
              <w:t>29.03.2027</w:t>
            </w:r>
          </w:p>
        </w:tc>
        <w:tc>
          <w:tcPr>
            <w:tcW w:w="3855" w:type="dxa"/>
          </w:tcPr>
          <w:p>
            <w:r/>
            <w:r>
              <w:rPr>
                <w:b w:val="0"/>
                <w:i w:val="0"/>
                <w:sz w:val="18"/>
              </w:rPr>
              <w:t>İş Sağlığı ve Güvenliği Kurulları Yönetmeliği md.9/1-a</w:t>
            </w:r>
          </w:p>
        </w:tc>
      </w:tr>
      <w:tr>
        <w:tc>
          <w:tcPr>
            <w:tcW w:w="4082" w:type="dxa"/>
          </w:tcPr>
          <w:p>
            <w:r/>
            <w:r>
              <w:rPr>
                <w:b w:val="0"/>
                <w:i w:val="0"/>
                <w:sz w:val="18"/>
              </w:rPr>
              <w:t>Zümreler dönem ortası toplantısı</w:t>
            </w:r>
          </w:p>
        </w:tc>
        <w:tc>
          <w:tcPr>
            <w:tcW w:w="2154" w:type="dxa"/>
          </w:tcPr>
          <w:p>
            <w:r/>
            <w:r>
              <w:rPr>
                <w:b w:val="0"/>
                <w:i w:val="0"/>
                <w:sz w:val="18"/>
              </w:rPr>
              <w:t>13.04.2027 Salı</w:t>
            </w:r>
          </w:p>
        </w:tc>
        <w:tc>
          <w:tcPr>
            <w:tcW w:w="3855" w:type="dxa"/>
          </w:tcPr>
          <w:p>
            <w:r/>
            <w:r>
              <w:rPr>
                <w:b w:val="0"/>
                <w:i w:val="0"/>
                <w:sz w:val="18"/>
              </w:rPr>
              <w:t>Yönerge md.12/4; il millî eğitim müdürlüğü takvimi (5-30 Nisan penceresi)</w:t>
            </w:r>
          </w:p>
        </w:tc>
      </w:tr>
      <w:tr>
        <w:tc>
          <w:tcPr>
            <w:tcW w:w="4082" w:type="dxa"/>
          </w:tcPr>
          <w:p>
            <w:r/>
            <w:r>
              <w:rPr>
                <w:b w:val="0"/>
                <w:i w:val="0"/>
                <w:sz w:val="18"/>
              </w:rPr>
              <w:t>Zümre başkanları kurulu ara toplantısı</w:t>
            </w:r>
          </w:p>
        </w:tc>
        <w:tc>
          <w:tcPr>
            <w:tcW w:w="2154" w:type="dxa"/>
          </w:tcPr>
          <w:p>
            <w:r/>
            <w:r>
              <w:rPr>
                <w:b w:val="0"/>
                <w:i w:val="0"/>
                <w:sz w:val="18"/>
              </w:rPr>
              <w:t>14.04.2027</w:t>
            </w:r>
          </w:p>
        </w:tc>
        <w:tc>
          <w:tcPr>
            <w:tcW w:w="3855" w:type="dxa"/>
          </w:tcPr>
          <w:p>
            <w:r/>
            <w:r>
              <w:rPr>
                <w:b w:val="0"/>
                <w:i w:val="0"/>
                <w:sz w:val="18"/>
              </w:rPr>
              <w:t>Okul planı</w:t>
            </w:r>
          </w:p>
        </w:tc>
      </w:tr>
      <w:tr>
        <w:tc>
          <w:tcPr>
            <w:tcW w:w="4082" w:type="dxa"/>
          </w:tcPr>
          <w:p>
            <w:r/>
            <w:r>
              <w:rPr>
                <w:b w:val="0"/>
                <w:i w:val="0"/>
                <w:sz w:val="18"/>
              </w:rPr>
              <w:t>Sınıf ve şube öğretmenler kurulları</w:t>
            </w:r>
          </w:p>
        </w:tc>
        <w:tc>
          <w:tcPr>
            <w:tcW w:w="2154" w:type="dxa"/>
          </w:tcPr>
          <w:p>
            <w:r/>
            <w:r>
              <w:rPr>
                <w:b w:val="0"/>
                <w:i w:val="0"/>
                <w:sz w:val="18"/>
              </w:rPr>
              <w:t>26-30.04.2027</w:t>
            </w:r>
          </w:p>
        </w:tc>
        <w:tc>
          <w:tcPr>
            <w:tcW w:w="3855" w:type="dxa"/>
          </w:tcPr>
          <w:p>
            <w:r/>
            <w:r>
              <w:rPr>
                <w:b w:val="0"/>
                <w:i w:val="0"/>
                <w:sz w:val="18"/>
              </w:rPr>
              <w:t>Yönerge md.10/2 (nisan); okul planı</w:t>
            </w:r>
          </w:p>
        </w:tc>
      </w:tr>
      <w:tr>
        <w:tc>
          <w:tcPr>
            <w:tcW w:w="4082" w:type="dxa"/>
          </w:tcPr>
          <w:p>
            <w:r/>
            <w:r>
              <w:rPr>
                <w:b w:val="0"/>
                <w:i w:val="0"/>
                <w:sz w:val="18"/>
              </w:rPr>
              <w:t>Genel veli toplantısı</w:t>
            </w:r>
          </w:p>
        </w:tc>
        <w:tc>
          <w:tcPr>
            <w:tcW w:w="2154" w:type="dxa"/>
          </w:tcPr>
          <w:p>
            <w:r/>
            <w:r>
              <w:rPr>
                <w:b w:val="0"/>
                <w:i w:val="0"/>
                <w:color w:val="C00000"/>
                <w:sz w:val="18"/>
              </w:rPr>
              <w:t>[……………………]</w:t>
            </w:r>
            <w:r>
              <w:rPr>
                <w:b w:val="0"/>
                <w:i w:val="0"/>
                <w:sz w:val="18"/>
              </w:rPr>
              <w:t>/04/2027</w:t>
            </w:r>
          </w:p>
        </w:tc>
        <w:tc>
          <w:tcPr>
            <w:tcW w:w="3855" w:type="dxa"/>
          </w:tcPr>
          <w:p>
            <w:r/>
            <w:r>
              <w:rPr>
                <w:b w:val="0"/>
                <w:i w:val="0"/>
                <w:sz w:val="18"/>
              </w:rPr>
              <w:t>Yönerge md.9/7-s; okul planlaması</w:t>
            </w:r>
          </w:p>
        </w:tc>
      </w:tr>
    </w:tbl>
    <w:p>
      <w:pPr>
        <w:spacing w:after="60" w:before="0"/>
      </w:pPr>
    </w:p>
    <w:p>
      <w:pPr>
        <w:spacing w:before="200" w:after="60"/>
        <w:keepNext/>
        <w:keepLines/>
      </w:pPr>
      <w:r>
        <w:rPr>
          <w:b/>
          <w:i w:val="0"/>
          <w:color w:val="1F3B63"/>
          <w:sz w:val="21"/>
        </w:rPr>
        <w:t>13. Rehberlik hizmetleri: birinci dönem değerlendirmesi ve ikinci dönem programı</w:t>
      </w:r>
    </w:p>
    <w:p>
      <w:pPr>
        <w:spacing w:after="80" w:before="0"/>
        <w:jc w:val="both"/>
      </w:pPr>
      <w:r>
        <w:rPr>
          <w:b w:val="0"/>
          <w:i w:val="0"/>
          <w:sz w:val="20"/>
        </w:rPr>
        <w:t xml:space="preserve">Rehberlik servisi birinci dönem çalışmalarını özetledi ve ikinci dönem programını sundu; birinci dönem rehberlik çalışmalarının e-Rehberlik verileriyle değerlendirildiği belirtildi. Rehberlik hizmetleri yürütme komisyonunun ikinci dönem başı toplantısının </w:t>
      </w:r>
      <w:r>
        <w:rPr>
          <w:b w:val="0"/>
          <w:i w:val="0"/>
          <w:color w:val="C00000"/>
          <w:sz w:val="20"/>
        </w:rPr>
        <w:t>[……………………]</w:t>
      </w:r>
      <w:r>
        <w:rPr>
          <w:b w:val="0"/>
          <w:i w:val="0"/>
          <w:sz w:val="20"/>
        </w:rPr>
        <w:t xml:space="preserve"> tarihinde yapılacağı; sınıf rehberlik saatleri uygulamalarında servisle eşgüdümün sürdürüleceği ifade edildi.</w:t>
      </w:r>
    </w:p>
    <w:p>
      <w:pPr>
        <w:spacing w:before="200" w:after="60"/>
        <w:keepNext/>
        <w:keepLines/>
      </w:pPr>
      <w:r>
        <w:rPr>
          <w:b/>
          <w:i w:val="0"/>
          <w:color w:val="1F3B63"/>
          <w:sz w:val="21"/>
        </w:rPr>
        <w:t>14. Bilişim araçları uygulamasının değerlendirilmesi</w:t>
      </w:r>
    </w:p>
    <w:p>
      <w:pPr>
        <w:spacing w:after="80" w:before="0"/>
        <w:jc w:val="both"/>
      </w:pPr>
      <w:r>
        <w:rPr>
          <w:b w:val="0"/>
          <w:i w:val="0"/>
          <w:sz w:val="20"/>
        </w:rPr>
        <w:t>Bilişim araçlarına ilişkin okul kararının birinci dönem işleyişi değerlendirildi: derslikte toplama, katlardaki telefon odalarında muhafaza ve odalara erişim izni, iade düzeni, istisna izinleri ve disiplin yansımaları görüşüldü. Usul ve esaslarda değişiklik ihtiyacı doğması hâlinde değişikliğin de öğretmenler kurulu kararına bağlı olduğu hatırlatıldı.</w:t>
      </w:r>
    </w:p>
    <w:p>
      <w:pPr>
        <w:spacing w:after="80" w:before="0"/>
        <w:jc w:val="both"/>
      </w:pPr>
      <w:r>
        <w:rPr>
          <w:b w:val="0"/>
          <w:i w:val="0"/>
          <w:sz w:val="20"/>
        </w:rPr>
        <w:t>Genelgenin sınıf içi telefon kuralının öğretmenlere de yönelik olduğu; ödev verme ve bilgilendirmelerde Bakanlığın belirlediği platformlar dışındaki araçlardan kaçınılması gerektiği yinelendi; birinci dönem uygulamasındaki aksaklıklar için ikinci dönem tedbirleri belirlendi. Dijital bağımlılığa karşı farkındalık çalışmalarının birinci dönem sonuçları rehberlik servisince sunuldu.</w:t>
      </w:r>
    </w:p>
    <w:p>
      <w:pPr>
        <w:spacing w:before="200" w:after="60"/>
        <w:keepNext/>
        <w:keepLines/>
      </w:pPr>
      <w:r>
        <w:rPr>
          <w:b/>
          <w:i w:val="0"/>
          <w:color w:val="1F3B63"/>
          <w:sz w:val="21"/>
        </w:rPr>
        <w:t>15. Okul Kuralları ve Uygulamaları ile okul içi düzenlemelerin uygulama durumu</w:t>
      </w:r>
    </w:p>
    <w:p>
      <w:pPr>
        <w:spacing w:after="80" w:before="0"/>
        <w:jc w:val="both"/>
      </w:pPr>
      <w:r>
        <w:rPr>
          <w:b w:val="0"/>
          <w:i w:val="0"/>
          <w:sz w:val="20"/>
        </w:rPr>
        <w:t>Sene başı kurulunda karara bağlanıp müdür onayıyla yürürlüğe giren Okul Kuralları ve Uygulamaları ile diğer iç düzenlemelerin birinci dönemdeki uygulaması gözden geçirildi. Değişiklik ihtiyacı görülen hususların, okul öğrenci ödül ve disiplin kurulunun önerisi üzerine öğretmenler kurulu kararı ve müdür onayıyla yapılacağı; kurulun dönem başı disiplin değerlendirmesinin bu maddeyle birlikte ele alınabileceği belirtildi. Öneriler gerekçeleriyle tutanağa geçirildi.</w:t>
      </w:r>
    </w:p>
    <w:p>
      <w:pPr>
        <w:spacing w:before="200" w:after="60"/>
        <w:keepNext/>
        <w:keepLines/>
      </w:pPr>
      <w:r>
        <w:rPr>
          <w:b/>
          <w:i w:val="0"/>
          <w:color w:val="1F3B63"/>
          <w:sz w:val="21"/>
        </w:rPr>
        <w:t>16. Sosyal etkinlikler ve nöbet uygulamalarının gözden geçirilmesi</w:t>
      </w:r>
    </w:p>
    <w:p>
      <w:pPr>
        <w:spacing w:after="80" w:before="0"/>
        <w:jc w:val="both"/>
      </w:pPr>
      <w:r>
        <w:rPr>
          <w:b w:val="0"/>
          <w:i w:val="0"/>
          <w:sz w:val="20"/>
        </w:rPr>
        <w:t>Sosyal etkinlikler kurulunun dönem raporu alındı; kurulca yapılan iş ve işlemlerin öğretmenler kurulunda değerlendirileceği hatırlatılarak ikinci dönem etkinlik, gezi ve yarışma planları ile genel veli toplantısı takvimi görüşüldü.</w:t>
      </w:r>
    </w:p>
    <w:p>
      <w:pPr>
        <w:spacing w:after="80" w:before="0"/>
        <w:jc w:val="both"/>
      </w:pPr>
      <w:r>
        <w:rPr>
          <w:b w:val="0"/>
          <w:i w:val="0"/>
          <w:sz w:val="20"/>
        </w:rPr>
        <w:t>Nöbet uygulaması gözden geçirildi: nöbet düzeninde aksayan yönler ile yoğun saatlere ilişkin gözlemler alındı. Nöbet işlerinden sorumlu müdür yardımcısının birinci dönem nöbet raporlarına dayalı değerlendirme notu sunuldu; talimatnamelerde veya çizelgede değişiklik gerekmesi hâlinde önerilerin kurulda görüşülüp okul müdürünün onayıyla uygulanacağı belirtildi.</w:t>
      </w:r>
    </w:p>
    <w:p>
      <w:pPr>
        <w:spacing w:before="200" w:after="60"/>
        <w:keepNext/>
        <w:keepLines/>
      </w:pPr>
      <w:r>
        <w:rPr>
          <w:b/>
          <w:i w:val="0"/>
          <w:color w:val="1F3B63"/>
          <w:sz w:val="21"/>
        </w:rPr>
        <w:t>17. İkinci dönem ara tatili mesleki çalışması; iş sağlığı ve güvenliği</w:t>
      </w:r>
    </w:p>
    <w:p>
      <w:pPr>
        <w:spacing w:after="80" w:before="0"/>
        <w:jc w:val="both"/>
      </w:pPr>
      <w:r>
        <w:rPr>
          <w:b w:val="0"/>
          <w:i w:val="0"/>
          <w:sz w:val="20"/>
        </w:rPr>
        <w:t>İkinci dönem ara tatili mesleki çalışmasının 8-12 Mart 2027 tarihlerinde yapılacağı; 8-11 Mart tarihlerinin Ramazan Bayramı tatiline denk gelmesi nedeniyle fiilî çalışmanın 12 Mart Cuma günü yürütüleceği ve programın paylaşıldığı belirtildi. İş sağlığı ve güvenliği kurulu ile kantin denetim komisyonu çalışmaları ve okul sağlığı uygulamaları özetlendi; döneme ilişkin hatırlatmalar yapıldı.</w:t>
      </w:r>
    </w:p>
    <w:p>
      <w:pPr>
        <w:spacing w:before="200" w:after="60"/>
        <w:keepNext/>
        <w:keepLines/>
      </w:pPr>
      <w:r>
        <w:rPr>
          <w:b/>
          <w:i w:val="0"/>
          <w:color w:val="1F3B63"/>
          <w:sz w:val="21"/>
        </w:rPr>
        <w:t>18. Dilek, temenniler ve kapanış</w:t>
      </w:r>
    </w:p>
    <w:p>
      <w:pPr>
        <w:spacing w:after="80" w:before="0"/>
        <w:jc w:val="both"/>
      </w:pPr>
      <w:r>
        <w:rPr>
          <w:b w:val="0"/>
          <w:i w:val="0"/>
          <w:sz w:val="20"/>
        </w:rPr>
        <w:t>Dilek ve temenniler dinlendi; kararların okul müdürünün onayının ardından yazılı olarak duyurulacağı belirtildi. İkinci dönemin verimli ve huzurlu geçmesi dileğiyle toplantı sona erdi.</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3, 4, 12, 13</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5, 6, 7, 8, 10, 14, 15, 16</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10</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4, 5, 6, 10, 14</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5, 13</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16</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11</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17</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10</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GNL-OKR-OKT-002_Ikinci_Donem_Basi_Ogretmenler_Kurulu_Cerceve_Tutanagi_2026-2027_v1.0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