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7.png" ContentType="image/png"/>
  <Override PartName="/word/media/rId33.png" ContentType="image/png"/>
  <Override PartName="/word/media/rId46.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первому этапу проекта</w:t>
      </w:r>
    </w:p>
    <w:p>
      <w:pPr>
        <w:pStyle w:val="Subtitle"/>
      </w:pPr>
      <w:r>
        <w:t xml:space="preserve">Исследование плавления и затвердевания малых кластеров</w:t>
      </w:r>
    </w:p>
    <w:p>
      <w:pPr>
        <w:pStyle w:val="Author"/>
      </w:pPr>
      <w:r>
        <w:t xml:space="preserve">Лихтенштейн Алина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данного этапа является изучение теоретических основ метода молекулярной динамики и построение модели для исследования процессов плавления и затвердевания малых кластеров с</w:t>
      </w:r>
      <w:r>
        <w:t xml:space="preserve"> </w:t>
      </w:r>
      <w:r>
        <w:t xml:space="preserve">“магическими”</w:t>
      </w:r>
      <w:r>
        <w:t xml:space="preserve"> </w:t>
      </w:r>
      <w:r>
        <w:t xml:space="preserve">числами частиц.</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Изучить теоретические основы метода молекулярной динамики</w:t>
      </w:r>
    </w:p>
    <w:p>
      <w:pPr>
        <w:pStyle w:val="Compact"/>
        <w:numPr>
          <w:ilvl w:val="0"/>
          <w:numId w:val="1001"/>
        </w:numPr>
      </w:pPr>
      <w:r>
        <w:t xml:space="preserve">Рассмотреть особенности фазовых переходов в малых кластерах</w:t>
      </w:r>
    </w:p>
    <w:p>
      <w:pPr>
        <w:pStyle w:val="Compact"/>
        <w:numPr>
          <w:ilvl w:val="0"/>
          <w:numId w:val="1001"/>
        </w:numPr>
      </w:pPr>
      <w:r>
        <w:t xml:space="preserve">Разработать физическую модель для исследования плавления и затвердевания малых кластеров с</w:t>
      </w:r>
      <w:r>
        <w:t xml:space="preserve"> </w:t>
      </w:r>
      <w:r>
        <w:t xml:space="preserve">“магическими”</w:t>
      </w:r>
      <w:r>
        <w:t xml:space="preserve"> </w:t>
      </w:r>
      <w:r>
        <w:t xml:space="preserve">числами частиц (7, 19, 37)</w:t>
      </w:r>
    </w:p>
    <w:p>
      <w:pPr>
        <w:pStyle w:val="Compact"/>
        <w:numPr>
          <w:ilvl w:val="0"/>
          <w:numId w:val="1001"/>
        </w:numPr>
      </w:pPr>
      <w:r>
        <w:t xml:space="preserve">Определить необходимые параметры и алгоритмы для дальнейшего моделирования</w:t>
      </w:r>
    </w:p>
    <w:bookmarkEnd w:id="21"/>
    <w:bookmarkStart w:id="38" w:name="теоретическое-введение"/>
    <w:p>
      <w:pPr>
        <w:pStyle w:val="Heading1"/>
      </w:pPr>
      <w:r>
        <w:rPr>
          <w:rStyle w:val="SectionNumber"/>
        </w:rPr>
        <w:t xml:space="preserve">3</w:t>
      </w:r>
      <w:r>
        <w:tab/>
      </w:r>
      <w:r>
        <w:t xml:space="preserve">Теоретическое введение</w:t>
      </w:r>
    </w:p>
    <w:bookmarkStart w:id="22" w:name="X9c90c2cfe4577781adbf2150ef65aa24d8175d4"/>
    <w:p>
      <w:pPr>
        <w:pStyle w:val="Heading2"/>
      </w:pPr>
      <w:r>
        <w:rPr>
          <w:rStyle w:val="SectionNumber"/>
        </w:rPr>
        <w:t xml:space="preserve">3.1</w:t>
      </w:r>
      <w:r>
        <w:tab/>
      </w:r>
      <w:r>
        <w:t xml:space="preserve">Молекулярная динамика как метод моделирования</w:t>
      </w:r>
    </w:p>
    <w:p>
      <w:pPr>
        <w:pStyle w:val="FirstParagraph"/>
      </w:pPr>
      <w:r>
        <w:t xml:space="preserve">Метод молекулярной динамики (МД) рассматривает поведение вещества на микроуровне, позволяя наблюдать за движением отдельных молекул. Несмотря на то, что макроскопические тела содержат слишком много молекул для полного моделирования, применение метода МД даже к</w:t>
      </w:r>
      <w:r>
        <w:t xml:space="preserve"> </w:t>
      </w:r>
      <w:r>
        <w:t xml:space="preserve">“небольшим”</w:t>
      </w:r>
      <w:r>
        <w:t xml:space="preserve"> </w:t>
      </w:r>
      <w:r>
        <w:t xml:space="preserve">системам из нескольких сотен или тысяч частиц позволяет понять наблюдаемые свойства газов, жидкостей и твердых тел.</w:t>
      </w:r>
    </w:p>
    <w:p>
      <w:pPr>
        <w:pStyle w:val="BodyText"/>
      </w:pPr>
      <w:r>
        <w:t xml:space="preserve">Особый интерес представляют малые системы (наночастицы), которые обладают уникальными свойствами, отличными от объемных материалов. Изучение таких систем имеет как фундаментальное, так и прикладное значение для развития нанотехнологий.</w:t>
      </w:r>
    </w:p>
    <w:bookmarkEnd w:id="22"/>
    <w:bookmarkStart w:id="31" w:name="фазовые-переходы-в-малых-частицах"/>
    <w:p>
      <w:pPr>
        <w:pStyle w:val="Heading2"/>
      </w:pPr>
      <w:r>
        <w:rPr>
          <w:rStyle w:val="SectionNumber"/>
        </w:rPr>
        <w:t xml:space="preserve">3.2</w:t>
      </w:r>
      <w:r>
        <w:tab/>
      </w:r>
      <w:r>
        <w:t xml:space="preserve">Фазовые переходы в малых частицах</w:t>
      </w:r>
    </w:p>
    <w:p>
      <w:pPr>
        <w:pStyle w:val="FirstParagraph"/>
      </w:pPr>
      <w:r>
        <w:t xml:space="preserve">В отличие от макроскопических систем, где фазовые переходы происходят при строго определенной температуре, в малых системах наблюдаются специфические особенности:</w:t>
      </w:r>
    </w:p>
    <w:p>
      <w:pPr>
        <w:pStyle w:val="Compact"/>
        <w:numPr>
          <w:ilvl w:val="0"/>
          <w:numId w:val="1002"/>
        </w:numPr>
      </w:pPr>
      <w:r>
        <w:t xml:space="preserve">Температура плавления зависит от размера кластера</w:t>
      </w:r>
    </w:p>
    <w:p>
      <w:pPr>
        <w:pStyle w:val="Compact"/>
        <w:numPr>
          <w:ilvl w:val="0"/>
          <w:numId w:val="1002"/>
        </w:numPr>
      </w:pPr>
      <w:r>
        <w:t xml:space="preserve">Переход от твердого состояния к жидкому происходит не скачком, а в некотором интервале температур</w:t>
      </w:r>
    </w:p>
    <w:p>
      <w:pPr>
        <w:pStyle w:val="Compact"/>
        <w:numPr>
          <w:ilvl w:val="0"/>
          <w:numId w:val="1002"/>
        </w:numPr>
      </w:pPr>
      <w:r>
        <w:t xml:space="preserve">Возможно оболочечное плавление, когда внешние слои плавятся при более низкой температуре, чем внутренние</w:t>
      </w:r>
    </w:p>
    <w:p>
      <w:pPr>
        <w:pStyle w:val="Compact"/>
        <w:numPr>
          <w:ilvl w:val="0"/>
          <w:numId w:val="1002"/>
        </w:numPr>
      </w:pPr>
      <w:r>
        <w:t xml:space="preserve">Наблюдается явление квазиплавления, когда кластер проводит часть времени в твердом состоянии, а часть — в жидком</w:t>
      </w:r>
    </w:p>
    <w:p>
      <w:pPr>
        <w:pStyle w:val="FirstParagraph"/>
      </w:pPr>
      <w:r>
        <w:t xml:space="preserve">При уменьшении числа частиц в кластере происходит снижение температуры плавления</w:t>
      </w:r>
      <w:r>
        <w:t xml:space="preserve"> </w:t>
      </w:r>
      <m:oMath>
        <m:sSub>
          <m:e>
            <m:r>
              <m:t>T</m:t>
            </m:r>
          </m:e>
          <m:sub>
            <m:r>
              <m:t>c</m:t>
            </m:r>
          </m:sub>
        </m:sSub>
      </m:oMath>
      <w:r>
        <w:t xml:space="preserve">. Это обусловлено увеличением доли частиц, расположенных на поверхности, которая пропорциональна</w:t>
      </w:r>
      <w:r>
        <w:t xml:space="preserve"> </w:t>
      </w:r>
      <m:oMath>
        <m:sSup>
          <m:e>
            <m:r>
              <m:t>N</m:t>
            </m:r>
          </m:e>
          <m:sup>
            <m:r>
              <m:rPr>
                <m:sty m:val="p"/>
              </m:rPr>
              <m:t>−</m:t>
            </m:r>
            <m:r>
              <m:t>1</m:t>
            </m:r>
            <m:r>
              <m:rPr>
                <m:sty m:val="p"/>
              </m:rPr>
              <m:t>/</m:t>
            </m:r>
            <m:r>
              <m:t>3</m:t>
            </m:r>
          </m:sup>
        </m:sSup>
      </m:oMath>
      <w:r>
        <w:t xml:space="preserve">. Поверхностные атомы имеют более высокую потенциальную энергию, поэтому средняя потенциальная энергия на одну частицу растет с уменьшением N, что приводит к понижению</w:t>
      </w:r>
      <w:r>
        <w:t xml:space="preserve"> </w:t>
      </w:r>
      <m:oMath>
        <m:sSub>
          <m:e>
            <m:r>
              <m:t>T</m:t>
            </m:r>
          </m:e>
          <m:sub>
            <m:r>
              <m:t>c</m:t>
            </m:r>
          </m:sub>
        </m:sSub>
      </m:oMath>
      <w:r>
        <w:t xml:space="preserve">. Экспериментально показано, что уменьшение температуры плавления может достигать сотен градусов.</w:t>
      </w:r>
    </w:p>
    <w:bookmarkStart w:id="26" w:name="fig:001"/>
    <w:p>
      <w:pPr>
        <w:pStyle w:val="CaptionedFigure"/>
      </w:pPr>
      <w:r>
        <w:drawing>
          <wp:inline>
            <wp:extent cx="3733800" cy="2197758"/>
            <wp:effectExtent b="0" l="0" r="0" t="0"/>
            <wp:docPr descr="Рис. 1: Зависимость температуры плавления от размера кластера" title="" id="24" name="Picture"/>
            <a:graphic>
              <a:graphicData uri="http://schemas.openxmlformats.org/drawingml/2006/picture">
                <pic:pic>
                  <pic:nvPicPr>
                    <pic:cNvPr descr="image/size_dependence.png" id="25" name="Picture"/>
                    <pic:cNvPicPr>
                      <a:picLocks noChangeArrowheads="1" noChangeAspect="1"/>
                    </pic:cNvPicPr>
                  </pic:nvPicPr>
                  <pic:blipFill>
                    <a:blip r:embed="rId23"/>
                    <a:stretch>
                      <a:fillRect/>
                    </a:stretch>
                  </pic:blipFill>
                  <pic:spPr bwMode="auto">
                    <a:xfrm>
                      <a:off x="0" y="0"/>
                      <a:ext cx="3733800" cy="2197758"/>
                    </a:xfrm>
                    <a:prstGeom prst="rect">
                      <a:avLst/>
                    </a:prstGeom>
                    <a:noFill/>
                    <a:ln w="9525">
                      <a:noFill/>
                      <a:headEnd/>
                      <a:tailEnd/>
                    </a:ln>
                  </pic:spPr>
                </pic:pic>
              </a:graphicData>
            </a:graphic>
          </wp:inline>
        </w:drawing>
      </w:r>
    </w:p>
    <w:p>
      <w:pPr>
        <w:pStyle w:val="ImageCaption"/>
      </w:pPr>
      <w:r>
        <w:t xml:space="preserve">Рис. 1: Зависимость температуры плавления от размера кластера</w:t>
      </w:r>
    </w:p>
    <w:bookmarkEnd w:id="26"/>
    <w:p>
      <w:pPr>
        <w:pStyle w:val="BodyText"/>
      </w:pPr>
      <w:r>
        <w:t xml:space="preserve">Для малых кластеров характерно наличие</w:t>
      </w:r>
      <w:r>
        <w:t xml:space="preserve"> </w:t>
      </w:r>
      <w:r>
        <w:t xml:space="preserve">“магических”</w:t>
      </w:r>
      <w:r>
        <w:t xml:space="preserve"> </w:t>
      </w:r>
      <w:r>
        <w:t xml:space="preserve">чисел частиц, при которых структура кластера обладает особой стабильностью. В случае гексагональной структуры</w:t>
      </w:r>
      <w:r>
        <w:t xml:space="preserve"> </w:t>
      </w:r>
      <w:r>
        <w:t xml:space="preserve">“магические”</w:t>
      </w:r>
      <w:r>
        <w:t xml:space="preserve"> </w:t>
      </w:r>
      <w:r>
        <w:t xml:space="preserve">числа определяются формулой:</w:t>
      </w:r>
    </w:p>
    <w:p>
      <w:pPr>
        <w:pStyle w:val="BodyText"/>
      </w:pPr>
      <m:oMathPara>
        <m:oMathParaPr>
          <m:jc m:val="center"/>
        </m:oMathParaPr>
        <m:oMath>
          <m:r>
            <m:t>N</m:t>
          </m:r>
          <m:r>
            <m:rPr>
              <m:sty m:val="p"/>
            </m:rPr>
            <m:t>=</m:t>
          </m:r>
          <m:r>
            <m:t>1</m:t>
          </m:r>
          <m:r>
            <m:rPr>
              <m:sty m:val="p"/>
            </m:rPr>
            <m:t>+</m:t>
          </m:r>
          <m:r>
            <m:t>3</m:t>
          </m:r>
          <m:r>
            <m:t>n</m:t>
          </m:r>
          <m:d>
            <m:dPr>
              <m:begChr m:val="("/>
              <m:sepChr m:val=""/>
              <m:endChr m:val=")"/>
              <m:grow/>
            </m:dPr>
            <m:e>
              <m:r>
                <m:t>n</m:t>
              </m:r>
              <m:r>
                <m:rPr>
                  <m:sty m:val="p"/>
                </m:rPr>
                <m:t>+</m:t>
              </m:r>
              <m:r>
                <m:t>1</m:t>
              </m:r>
            </m:e>
          </m:d>
        </m:oMath>
      </m:oMathPara>
    </w:p>
    <w:p>
      <w:pPr>
        <w:pStyle w:val="FirstParagraph"/>
      </w:pPr>
      <w:r>
        <w:t xml:space="preserve">где n — число оболочек. Первые несколько</w:t>
      </w:r>
      <w:r>
        <w:t xml:space="preserve"> </w:t>
      </w:r>
      <w:r>
        <w:t xml:space="preserve">“магических”</w:t>
      </w:r>
      <w:r>
        <w:t xml:space="preserve"> </w:t>
      </w:r>
      <w:r>
        <w:t xml:space="preserve">чисел: 1, 7, 19, 37, 61.</w:t>
      </w:r>
    </w:p>
    <w:bookmarkStart w:id="30" w:name="fig:002"/>
    <w:p>
      <w:pPr>
        <w:pStyle w:val="CaptionedFigure"/>
      </w:pPr>
      <w:r>
        <w:drawing>
          <wp:inline>
            <wp:extent cx="3733800" cy="1278012"/>
            <wp:effectExtent b="0" l="0" r="0" t="0"/>
            <wp:docPr descr="Рис. 2: Структура гексагональных кластеров с различным числом частиц" title="" id="28" name="Picture"/>
            <a:graphic>
              <a:graphicData uri="http://schemas.openxmlformats.org/drawingml/2006/picture">
                <pic:pic>
                  <pic:nvPicPr>
                    <pic:cNvPr descr="image/hexagonal_clusters.png" id="29" name="Picture"/>
                    <pic:cNvPicPr>
                      <a:picLocks noChangeArrowheads="1" noChangeAspect="1"/>
                    </pic:cNvPicPr>
                  </pic:nvPicPr>
                  <pic:blipFill>
                    <a:blip r:embed="rId27"/>
                    <a:stretch>
                      <a:fillRect/>
                    </a:stretch>
                  </pic:blipFill>
                  <pic:spPr bwMode="auto">
                    <a:xfrm>
                      <a:off x="0" y="0"/>
                      <a:ext cx="3733800" cy="1278012"/>
                    </a:xfrm>
                    <a:prstGeom prst="rect">
                      <a:avLst/>
                    </a:prstGeom>
                    <a:noFill/>
                    <a:ln w="9525">
                      <a:noFill/>
                      <a:headEnd/>
                      <a:tailEnd/>
                    </a:ln>
                  </pic:spPr>
                </pic:pic>
              </a:graphicData>
            </a:graphic>
          </wp:inline>
        </w:drawing>
      </w:r>
    </w:p>
    <w:p>
      <w:pPr>
        <w:pStyle w:val="ImageCaption"/>
      </w:pPr>
      <w:r>
        <w:t xml:space="preserve">Рис. 2: Структура гексагональных кластеров с различным числом частиц</w:t>
      </w:r>
    </w:p>
    <w:bookmarkEnd w:id="30"/>
    <w:bookmarkEnd w:id="31"/>
    <w:bookmarkStart w:id="32" w:name="уравнения-молекулярной-динамики"/>
    <w:p>
      <w:pPr>
        <w:pStyle w:val="Heading2"/>
      </w:pPr>
      <w:r>
        <w:rPr>
          <w:rStyle w:val="SectionNumber"/>
        </w:rPr>
        <w:t xml:space="preserve">3.3</w:t>
      </w:r>
      <w:r>
        <w:tab/>
      </w:r>
      <w:r>
        <w:t xml:space="preserve">Уравнения молекулярной динамики</w:t>
      </w:r>
    </w:p>
    <w:p>
      <w:pPr>
        <w:pStyle w:val="FirstParagraph"/>
      </w:pPr>
      <w:r>
        <w:t xml:space="preserve">Несмотря на то, что микрочастицы являются квантовыми объектами, во многих практически интересных случаях возможно рассматривать их классически. Движение частиц описывается вторым законом Ньютона:</w:t>
      </w:r>
    </w:p>
    <w:p>
      <w:pPr>
        <w:pStyle w:val="BodyText"/>
      </w:pPr>
      <m:oMathPara>
        <m:oMathParaPr>
          <m:jc m:val="center"/>
        </m:oMathParaPr>
        <m:oMath>
          <m:sSub>
            <m:e>
              <m:r>
                <m:t>m</m:t>
              </m:r>
            </m:e>
            <m:sub>
              <m:r>
                <m:t>i</m:t>
              </m:r>
            </m:sub>
          </m:sSub>
          <m:f>
            <m:fPr>
              <m:type m:val="bar"/>
            </m:fPr>
            <m:num>
              <m:sSup>
                <m:e>
                  <m:r>
                    <m:t>d</m:t>
                  </m:r>
                </m:e>
                <m:sup>
                  <m:r>
                    <m:t>2</m:t>
                  </m:r>
                </m:sup>
              </m:sSup>
              <m:sSub>
                <m:e>
                  <m:acc>
                    <m:accPr>
                      <m:chr m:val="⃗"/>
                    </m:accPr>
                    <m:e>
                      <m:r>
                        <m:t>r</m:t>
                      </m:r>
                    </m:e>
                  </m:acc>
                </m:e>
                <m:sub>
                  <m:r>
                    <m:t>i</m:t>
                  </m:r>
                </m:sub>
              </m:sSub>
            </m:num>
            <m:den>
              <m:r>
                <m:t>d</m:t>
              </m:r>
              <m:sSup>
                <m:e>
                  <m:r>
                    <m:t>t</m:t>
                  </m:r>
                </m:e>
                <m:sup>
                  <m:r>
                    <m:t>2</m:t>
                  </m:r>
                </m:sup>
              </m:sSup>
            </m:den>
          </m:f>
          <m:r>
            <m:rPr>
              <m:sty m:val="p"/>
            </m:rPr>
            <m:t>=</m:t>
          </m:r>
          <m:sSub>
            <m:e>
              <m:acc>
                <m:accPr>
                  <m:chr m:val="⃗"/>
                </m:accPr>
                <m:e>
                  <m:r>
                    <m:t>F</m:t>
                  </m:r>
                </m:e>
              </m:acc>
            </m:e>
            <m:sub>
              <m:r>
                <m:t>i</m:t>
              </m:r>
            </m:sub>
          </m:sSub>
        </m:oMath>
      </m:oMathPara>
    </w:p>
    <w:p>
      <w:pPr>
        <w:pStyle w:val="FirstParagraph"/>
      </w:pPr>
      <w:r>
        <w:t xml:space="preserve">где</w:t>
      </w:r>
      <w:r>
        <w:t xml:space="preserve"> </w:t>
      </w:r>
      <m:oMath>
        <m:sSub>
          <m:e>
            <m:acc>
              <m:accPr>
                <m:chr m:val="⃗"/>
              </m:accPr>
              <m:e>
                <m:r>
                  <m:t>F</m:t>
                </m:r>
              </m:e>
            </m:acc>
          </m:e>
          <m:sub>
            <m:r>
              <m:t>i</m:t>
            </m:r>
          </m:sub>
        </m:sSub>
        <m:r>
          <m:rPr>
            <m:sty m:val="p"/>
          </m:rPr>
          <m:t>=</m:t>
        </m:r>
        <m:r>
          <m:rPr>
            <m:sty m:val="p"/>
          </m:rPr>
          <m:t>−</m:t>
        </m:r>
        <m:f>
          <m:fPr>
            <m:type m:val="bar"/>
          </m:fPr>
          <m:num>
            <m:r>
              <m:rPr>
                <m:sty m:val="p"/>
              </m:rPr>
              <m:t>∂</m:t>
            </m:r>
            <m:sSub>
              <m:e>
                <m:r>
                  <m:t>E</m:t>
                </m:r>
              </m:e>
              <m:sub>
                <m:r>
                  <m:t>p</m:t>
                </m:r>
              </m:sub>
            </m:sSub>
          </m:num>
          <m:den>
            <m:r>
              <m:rPr>
                <m:sty m:val="p"/>
              </m:rPr>
              <m:t>∂</m:t>
            </m:r>
            <m:sSub>
              <m:e>
                <m:acc>
                  <m:accPr>
                    <m:chr m:val="⃗"/>
                  </m:accPr>
                  <m:e>
                    <m:r>
                      <m:t>r</m:t>
                    </m:r>
                  </m:e>
                </m:acc>
              </m:e>
              <m:sub>
                <m:r>
                  <m:t>i</m:t>
                </m:r>
              </m:sub>
            </m:sSub>
          </m:den>
        </m:f>
      </m:oMath>
      <w:r>
        <w:t xml:space="preserve"> </w:t>
      </w:r>
      <w:r>
        <w:t xml:space="preserve">— сила, действующая на частицу.</w:t>
      </w:r>
    </w:p>
    <w:p>
      <w:pPr>
        <w:pStyle w:val="BodyText"/>
      </w:pPr>
      <w:r>
        <w:t xml:space="preserve">Система из N частиц описывается N обыкновенными дифференциальными уравнениями второго порядка, которые можно переписать в виде 2N уравнений первого порядка:</w:t>
      </w:r>
    </w:p>
    <w:p>
      <w:pPr>
        <w:pStyle w:val="BodyText"/>
      </w:pPr>
      <m:oMathPara>
        <m:oMathParaPr>
          <m:jc m:val="center"/>
        </m:oMathParaPr>
        <m:oMath>
          <m:f>
            <m:fPr>
              <m:type m:val="bar"/>
            </m:fPr>
            <m:num>
              <m:r>
                <m:t>d</m:t>
              </m:r>
              <m:sSub>
                <m:e>
                  <m:acc>
                    <m:accPr>
                      <m:chr m:val="⃗"/>
                    </m:accPr>
                    <m:e>
                      <m:r>
                        <m:t>r</m:t>
                      </m:r>
                    </m:e>
                  </m:acc>
                </m:e>
                <m:sub>
                  <m:r>
                    <m:t>i</m:t>
                  </m:r>
                </m:sub>
              </m:sSub>
            </m:num>
            <m:den>
              <m:r>
                <m:t>d</m:t>
              </m:r>
              <m:r>
                <m:t>t</m:t>
              </m:r>
            </m:den>
          </m:f>
          <m:r>
            <m:rPr>
              <m:sty m:val="p"/>
            </m:rPr>
            <m:t>=</m:t>
          </m:r>
          <m:sSub>
            <m:e>
              <m:acc>
                <m:accPr>
                  <m:chr m:val="⃗"/>
                </m:accPr>
                <m:e>
                  <m:r>
                    <m:t>v</m:t>
                  </m:r>
                </m:e>
              </m:acc>
            </m:e>
            <m:sub>
              <m:r>
                <m:t>i</m:t>
              </m:r>
            </m:sub>
          </m:sSub>
        </m:oMath>
      </m:oMathPara>
    </w:p>
    <w:p>
      <w:pPr>
        <w:pStyle w:val="FirstParagraph"/>
      </w:pPr>
      <m:oMathPara>
        <m:oMathParaPr>
          <m:jc m:val="center"/>
        </m:oMathParaPr>
        <m:oMath>
          <m:f>
            <m:fPr>
              <m:type m:val="bar"/>
            </m:fPr>
            <m:num>
              <m:r>
                <m:t>d</m:t>
              </m:r>
              <m:sSub>
                <m:e>
                  <m:acc>
                    <m:accPr>
                      <m:chr m:val="⃗"/>
                    </m:accPr>
                    <m:e>
                      <m:r>
                        <m:t>v</m:t>
                      </m:r>
                    </m:e>
                  </m:acc>
                </m:e>
                <m:sub>
                  <m:r>
                    <m:t>i</m:t>
                  </m:r>
                </m:sub>
              </m:sSub>
            </m:num>
            <m:den>
              <m:r>
                <m:t>d</m:t>
              </m:r>
              <m:r>
                <m:t>t</m:t>
              </m:r>
            </m:den>
          </m:f>
          <m:r>
            <m:rPr>
              <m:sty m:val="p"/>
            </m:rPr>
            <m:t>=</m:t>
          </m:r>
          <m:sSub>
            <m:e>
              <m:acc>
                <m:accPr>
                  <m:chr m:val="⃗"/>
                </m:accPr>
                <m:e>
                  <m:r>
                    <m:t>a</m:t>
                  </m:r>
                </m:e>
              </m:acc>
            </m:e>
            <m:sub>
              <m:r>
                <m:t>i</m:t>
              </m:r>
            </m:sub>
          </m:sSub>
        </m:oMath>
      </m:oMathPara>
    </w:p>
    <w:p>
      <w:pPr>
        <w:pStyle w:val="FirstParagraph"/>
      </w:pPr>
      <w:r>
        <w:t xml:space="preserve">где</w:t>
      </w:r>
      <w:r>
        <w:t xml:space="preserve"> </w:t>
      </w:r>
      <m:oMath>
        <m:sSub>
          <m:e>
            <m:acc>
              <m:accPr>
                <m:chr m:val="⃗"/>
              </m:accPr>
              <m:e>
                <m:r>
                  <m:t>a</m:t>
                </m:r>
              </m:e>
            </m:acc>
          </m:e>
          <m:sub>
            <m:r>
              <m:t>i</m:t>
            </m:r>
          </m:sub>
        </m:sSub>
        <m:r>
          <m:rPr>
            <m:sty m:val="p"/>
          </m:rPr>
          <m:t>=</m:t>
        </m:r>
        <m:f>
          <m:fPr>
            <m:type m:val="bar"/>
          </m:fPr>
          <m:num>
            <m:sSub>
              <m:e>
                <m:acc>
                  <m:accPr>
                    <m:chr m:val="⃗"/>
                  </m:accPr>
                  <m:e>
                    <m:r>
                      <m:t>F</m:t>
                    </m:r>
                  </m:e>
                </m:acc>
              </m:e>
              <m:sub>
                <m:r>
                  <m:t>i</m:t>
                </m:r>
              </m:sub>
            </m:sSub>
          </m:num>
          <m:den>
            <m:sSub>
              <m:e>
                <m:r>
                  <m:t>m</m:t>
                </m:r>
              </m:e>
              <m:sub>
                <m:r>
                  <m:t>i</m:t>
                </m:r>
              </m:sub>
            </m:sSub>
          </m:den>
        </m:f>
      </m:oMath>
      <w:r>
        <w:t xml:space="preserve"> </w:t>
      </w:r>
      <w:r>
        <w:t xml:space="preserve">— ускорение частицы.</w:t>
      </w:r>
    </w:p>
    <w:bookmarkEnd w:id="32"/>
    <w:bookmarkStart w:id="37" w:name="потенциал-леннард-джонса"/>
    <w:p>
      <w:pPr>
        <w:pStyle w:val="Heading2"/>
      </w:pPr>
      <w:r>
        <w:rPr>
          <w:rStyle w:val="SectionNumber"/>
        </w:rPr>
        <w:t xml:space="preserve">3.4</w:t>
      </w:r>
      <w:r>
        <w:tab/>
      </w:r>
      <w:r>
        <w:t xml:space="preserve">Потенциал Леннард-Джонса</w:t>
      </w:r>
    </w:p>
    <w:p>
      <w:pPr>
        <w:pStyle w:val="FirstParagraph"/>
      </w:pPr>
      <w:r>
        <w:t xml:space="preserve">Для моделирования взаимодействия между частицами широко используется потенциал Леннард-Джонса:</w:t>
      </w:r>
    </w:p>
    <w:p>
      <w:pPr>
        <w:pStyle w:val="BodyText"/>
      </w:pPr>
      <m:oMathPara>
        <m:oMathParaPr>
          <m:jc m:val="center"/>
        </m:oMathParaPr>
        <m:oMath>
          <m:sSub>
            <m:e>
              <m:r>
                <m:t>U</m:t>
              </m:r>
            </m:e>
            <m:sub>
              <m:r>
                <m:t>L</m:t>
              </m:r>
              <m:r>
                <m:t>J</m:t>
              </m:r>
            </m:sub>
          </m:sSub>
          <m:d>
            <m:dPr>
              <m:begChr m:val="("/>
              <m:sepChr m:val=""/>
              <m:endChr m:val=")"/>
              <m:grow/>
            </m:dPr>
            <m:e>
              <m:r>
                <m:t>r</m:t>
              </m:r>
            </m:e>
          </m:d>
          <m:r>
            <m:rPr>
              <m:sty m:val="p"/>
            </m:rPr>
            <m:t>=</m:t>
          </m:r>
          <m:r>
            <m:t>ε</m:t>
          </m:r>
          <m:d>
            <m:dPr>
              <m:begChr m:val="["/>
              <m:sepChr m:val=""/>
              <m:endChr m:val="]"/>
              <m:grow/>
            </m:dPr>
            <m:e>
              <m:sSup>
                <m:e>
                  <m:d>
                    <m:dPr>
                      <m:begChr m:val="("/>
                      <m:sepChr m:val=""/>
                      <m:endChr m:val=")"/>
                      <m:grow/>
                    </m:dPr>
                    <m:e>
                      <m:f>
                        <m:fPr>
                          <m:type m:val="bar"/>
                        </m:fPr>
                        <m:num>
                          <m:r>
                            <m:t>b</m:t>
                          </m:r>
                        </m:num>
                        <m:den>
                          <m:r>
                            <m:t>r</m:t>
                          </m:r>
                        </m:den>
                      </m:f>
                    </m:e>
                  </m:d>
                </m:e>
                <m:sup>
                  <m:r>
                    <m:t>12</m:t>
                  </m:r>
                </m:sup>
              </m:sSup>
              <m:r>
                <m:rPr>
                  <m:sty m:val="p"/>
                </m:rPr>
                <m:t>−</m:t>
              </m:r>
              <m:r>
                <m:t>2</m:t>
              </m:r>
              <m:sSup>
                <m:e>
                  <m:d>
                    <m:dPr>
                      <m:begChr m:val="("/>
                      <m:sepChr m:val=""/>
                      <m:endChr m:val=")"/>
                      <m:grow/>
                    </m:dPr>
                    <m:e>
                      <m:f>
                        <m:fPr>
                          <m:type m:val="bar"/>
                        </m:fPr>
                        <m:num>
                          <m:r>
                            <m:t>b</m:t>
                          </m:r>
                        </m:num>
                        <m:den>
                          <m:r>
                            <m:t>r</m:t>
                          </m:r>
                        </m:den>
                      </m:f>
                    </m:e>
                  </m:d>
                </m:e>
                <m:sup>
                  <m:r>
                    <m:t>6</m:t>
                  </m:r>
                </m:sup>
              </m:sSup>
            </m:e>
          </m:d>
        </m:oMath>
      </m:oMathPara>
    </w:p>
    <w:p>
      <w:pPr>
        <w:pStyle w:val="FirstParagraph"/>
      </w:pPr>
      <w:r>
        <w:t xml:space="preserve">где</w:t>
      </w:r>
      <w:r>
        <w:t xml:space="preserve"> </w:t>
      </w:r>
      <m:oMath>
        <m:r>
          <m:t>ε</m:t>
        </m:r>
      </m:oMath>
      <w:r>
        <w:t xml:space="preserve"> </w:t>
      </w:r>
      <w:r>
        <w:t xml:space="preserve">— глубина потенциальной ямы, b — равновесное расстояние между частицами.</w:t>
      </w:r>
    </w:p>
    <w:p>
      <w:pPr>
        <w:pStyle w:val="BodyText"/>
      </w:pPr>
      <w:r>
        <w:t xml:space="preserve">Этот потенциал хорошо описывает взаимодействие инертных газов и может служить качественной моделью для других веществ. Его достоинством является короткодействующий характер — сила взаимодействия быстро спадает с увеличением расстояния. Практически при расстояниях</w:t>
      </w:r>
      <w:r>
        <w:t xml:space="preserve"> </w:t>
      </w:r>
      <m:oMath>
        <m:r>
          <m:t>r</m:t>
        </m:r>
        <m:r>
          <m:rPr>
            <m:sty m:val="p"/>
          </m:rPr>
          <m:t>&gt;</m:t>
        </m:r>
        <m:sSub>
          <m:e>
            <m:r>
              <m:t>r</m:t>
            </m:r>
          </m:e>
          <m:sub>
            <m:r>
              <m:t>c</m:t>
            </m:r>
          </m:sub>
        </m:sSub>
      </m:oMath>
      <w:r>
        <w:t xml:space="preserve"> </w:t>
      </w:r>
      <w:r>
        <w:t xml:space="preserve">взаимодействие можно не учитывать, где</w:t>
      </w:r>
      <w:r>
        <w:t xml:space="preserve"> </w:t>
      </w:r>
      <m:oMath>
        <m:sSub>
          <m:e>
            <m:r>
              <m:t>r</m:t>
            </m:r>
          </m:e>
          <m:sub>
            <m:r>
              <m:t>c</m:t>
            </m:r>
          </m:sub>
        </m:sSub>
      </m:oMath>
      <w:r>
        <w:t xml:space="preserve"> </w:t>
      </w:r>
      <w:r>
        <w:t xml:space="preserve">— радиус обрезания, обычно принимаемый</w:t>
      </w:r>
      <w:r>
        <w:t xml:space="preserve"> </w:t>
      </w:r>
      <m:oMath>
        <m:sSub>
          <m:e>
            <m:r>
              <m:t>r</m:t>
            </m:r>
          </m:e>
          <m:sub>
            <m:r>
              <m:t>c</m:t>
            </m:r>
          </m:sub>
        </m:sSub>
        <m:r>
          <m:rPr>
            <m:sty m:val="p"/>
          </m:rPr>
          <m:t>≥</m:t>
        </m:r>
        <m:r>
          <m:t>2.5</m:t>
        </m:r>
        <m:r>
          <m:t>b</m:t>
        </m:r>
      </m:oMath>
      <w:r>
        <w:t xml:space="preserve">.</w:t>
      </w:r>
    </w:p>
    <w:bookmarkStart w:id="36" w:name="fig:003"/>
    <w:p>
      <w:pPr>
        <w:pStyle w:val="CaptionedFigure"/>
      </w:pPr>
      <w:r>
        <w:drawing>
          <wp:inline>
            <wp:extent cx="3733800" cy="2774716"/>
            <wp:effectExtent b="0" l="0" r="0" t="0"/>
            <wp:docPr descr="Рис. 3: Потенциал Леннард-Джонса" title="" id="34" name="Picture"/>
            <a:graphic>
              <a:graphicData uri="http://schemas.openxmlformats.org/drawingml/2006/picture">
                <pic:pic>
                  <pic:nvPicPr>
                    <pic:cNvPr descr="image/lj_potential.png" id="35" name="Picture"/>
                    <pic:cNvPicPr>
                      <a:picLocks noChangeArrowheads="1" noChangeAspect="1"/>
                    </pic:cNvPicPr>
                  </pic:nvPicPr>
                  <pic:blipFill>
                    <a:blip r:embed="rId33"/>
                    <a:stretch>
                      <a:fillRect/>
                    </a:stretch>
                  </pic:blipFill>
                  <pic:spPr bwMode="auto">
                    <a:xfrm>
                      <a:off x="0" y="0"/>
                      <a:ext cx="3733800" cy="2774716"/>
                    </a:xfrm>
                    <a:prstGeom prst="rect">
                      <a:avLst/>
                    </a:prstGeom>
                    <a:noFill/>
                    <a:ln w="9525">
                      <a:noFill/>
                      <a:headEnd/>
                      <a:tailEnd/>
                    </a:ln>
                  </pic:spPr>
                </pic:pic>
              </a:graphicData>
            </a:graphic>
          </wp:inline>
        </w:drawing>
      </w:r>
    </w:p>
    <w:p>
      <w:pPr>
        <w:pStyle w:val="ImageCaption"/>
      </w:pPr>
      <w:r>
        <w:t xml:space="preserve">Рис. 3: Потенциал Леннард-Джонса</w:t>
      </w:r>
    </w:p>
    <w:bookmarkEnd w:id="36"/>
    <w:bookmarkEnd w:id="37"/>
    <w:bookmarkEnd w:id="38"/>
    <w:bookmarkStart w:id="51" w:name="описание-модели"/>
    <w:p>
      <w:pPr>
        <w:pStyle w:val="Heading1"/>
      </w:pPr>
      <w:r>
        <w:rPr>
          <w:rStyle w:val="SectionNumber"/>
        </w:rPr>
        <w:t xml:space="preserve">4</w:t>
      </w:r>
      <w:r>
        <w:tab/>
      </w:r>
      <w:r>
        <w:t xml:space="preserve">Описание модели</w:t>
      </w:r>
    </w:p>
    <w:bookmarkStart w:id="39" w:name="алгоритм-моделирования"/>
    <w:p>
      <w:pPr>
        <w:pStyle w:val="Heading2"/>
      </w:pPr>
      <w:r>
        <w:rPr>
          <w:rStyle w:val="SectionNumber"/>
        </w:rPr>
        <w:t xml:space="preserve">4.1</w:t>
      </w:r>
      <w:r>
        <w:tab/>
      </w:r>
      <w:r>
        <w:t xml:space="preserve">Алгоритм моделирования</w:t>
      </w:r>
    </w:p>
    <w:p>
      <w:pPr>
        <w:pStyle w:val="FirstParagraph"/>
      </w:pPr>
      <w:r>
        <w:t xml:space="preserve">Для численного решения уравнений движения частиц используется алгоритм Верле в скоростной форме, обладающий третьим порядком точности при постоянном шаге по времени:</w:t>
      </w:r>
    </w:p>
    <w:p>
      <w:pPr>
        <w:pStyle w:val="BodyText"/>
      </w:pPr>
      <m:oMathPara>
        <m:oMathParaPr>
          <m:jc m:val="center"/>
        </m:oMathParaPr>
        <m:oMath>
          <m:sSubSup>
            <m:e>
              <m:acc>
                <m:accPr>
                  <m:chr m:val="⃗"/>
                </m:accPr>
                <m:e>
                  <m:r>
                    <m:t>r</m:t>
                  </m:r>
                </m:e>
              </m:acc>
            </m:e>
            <m:sub>
              <m:r>
                <m:t>i</m:t>
              </m:r>
            </m:sub>
            <m:sup>
              <m:r>
                <m:t>n</m:t>
              </m:r>
              <m:r>
                <m:rPr>
                  <m:sty m:val="p"/>
                </m:rPr>
                <m:t>+</m:t>
              </m:r>
              <m:r>
                <m:t>1</m:t>
              </m:r>
              <m:r>
                <m:rPr>
                  <m:sty m:val="p"/>
                </m:rPr>
                <m:t>/</m:t>
              </m:r>
              <m:r>
                <m:t>2</m:t>
              </m:r>
            </m:sup>
          </m:sSubSup>
          <m:r>
            <m:rPr>
              <m:sty m:val="p"/>
            </m:rPr>
            <m:t>=</m:t>
          </m:r>
          <m:sSubSup>
            <m:e>
              <m:acc>
                <m:accPr>
                  <m:chr m:val="⃗"/>
                </m:accPr>
                <m:e>
                  <m:r>
                    <m:t>r</m:t>
                  </m:r>
                </m:e>
              </m:acc>
            </m:e>
            <m:sub>
              <m:r>
                <m:t>i</m:t>
              </m:r>
            </m:sub>
            <m:sup>
              <m:r>
                <m:t>n</m:t>
              </m:r>
            </m:sup>
          </m:sSubSup>
          <m:r>
            <m:rPr>
              <m:sty m:val="p"/>
            </m:rPr>
            <m:t>+</m:t>
          </m:r>
          <m:sSubSup>
            <m:e>
              <m:acc>
                <m:accPr>
                  <m:chr m:val="⃗"/>
                </m:accPr>
                <m:e>
                  <m:r>
                    <m:t>v</m:t>
                  </m:r>
                </m:e>
              </m:acc>
            </m:e>
            <m:sub>
              <m:r>
                <m:t>i</m:t>
              </m:r>
            </m:sub>
            <m:sup>
              <m:r>
                <m:t>n</m:t>
              </m:r>
            </m:sup>
          </m:sSubSup>
          <m:r>
            <m:rPr>
              <m:sty m:val="p"/>
            </m:rPr>
            <m:t>⋅</m:t>
          </m:r>
          <m:f>
            <m:fPr>
              <m:type m:val="bar"/>
            </m:fPr>
            <m:num>
              <m:r>
                <m:t>Δ</m:t>
              </m:r>
              <m:r>
                <m:t>t</m:t>
              </m:r>
            </m:num>
            <m:den>
              <m:r>
                <m:t>2</m:t>
              </m:r>
            </m:den>
          </m:f>
        </m:oMath>
      </m:oMathPara>
    </w:p>
    <w:p>
      <w:pPr>
        <w:pStyle w:val="FirstParagraph"/>
      </w:pPr>
      <m:oMathPara>
        <m:oMathParaPr>
          <m:jc m:val="center"/>
        </m:oMathParaPr>
        <m:oMath>
          <m:sSubSup>
            <m:e>
              <m:acc>
                <m:accPr>
                  <m:chr m:val="⃗"/>
                </m:accPr>
                <m:e>
                  <m:r>
                    <m:t>r</m:t>
                  </m:r>
                </m:e>
              </m:acc>
            </m:e>
            <m:sub>
              <m:r>
                <m:t>i</m:t>
              </m:r>
            </m:sub>
            <m:sup>
              <m:r>
                <m:t>n</m:t>
              </m:r>
              <m:r>
                <m:rPr>
                  <m:sty m:val="p"/>
                </m:rPr>
                <m:t>+</m:t>
              </m:r>
              <m:r>
                <m:t>1</m:t>
              </m:r>
            </m:sup>
          </m:sSubSup>
          <m:r>
            <m:rPr>
              <m:sty m:val="p"/>
            </m:rPr>
            <m:t>=</m:t>
          </m:r>
          <m:sSubSup>
            <m:e>
              <m:acc>
                <m:accPr>
                  <m:chr m:val="⃗"/>
                </m:accPr>
                <m:e>
                  <m:r>
                    <m:t>r</m:t>
                  </m:r>
                </m:e>
              </m:acc>
            </m:e>
            <m:sub>
              <m:r>
                <m:t>i</m:t>
              </m:r>
            </m:sub>
            <m:sup>
              <m:r>
                <m:t>n</m:t>
              </m:r>
            </m:sup>
          </m:sSubSup>
          <m:r>
            <m:rPr>
              <m:sty m:val="p"/>
            </m:rPr>
            <m:t>+</m:t>
          </m:r>
          <m:sSubSup>
            <m:e>
              <m:acc>
                <m:accPr>
                  <m:chr m:val="⃗"/>
                </m:accPr>
                <m:e>
                  <m:r>
                    <m:t>v</m:t>
                  </m:r>
                </m:e>
              </m:acc>
            </m:e>
            <m:sub>
              <m:r>
                <m:t>i</m:t>
              </m:r>
            </m:sub>
            <m:sup>
              <m:r>
                <m:t>n</m:t>
              </m:r>
              <m:r>
                <m:rPr>
                  <m:sty m:val="p"/>
                </m:rPr>
                <m:t>+</m:t>
              </m:r>
              <m:r>
                <m:t>1</m:t>
              </m:r>
              <m:r>
                <m:rPr>
                  <m:sty m:val="p"/>
                </m:rPr>
                <m:t>/</m:t>
              </m:r>
              <m:r>
                <m:t>2</m:t>
              </m:r>
            </m:sup>
          </m:sSubSup>
          <m:r>
            <m:rPr>
              <m:sty m:val="p"/>
            </m:rPr>
            <m:t>⋅</m:t>
          </m:r>
          <m:r>
            <m:t>Δ</m:t>
          </m:r>
          <m:r>
            <m:t>t</m:t>
          </m:r>
        </m:oMath>
      </m:oMathPara>
    </w:p>
    <w:p>
      <w:pPr>
        <w:pStyle w:val="FirstParagraph"/>
      </w:pPr>
      <m:oMathPara>
        <m:oMathParaPr>
          <m:jc m:val="center"/>
        </m:oMathParaPr>
        <m:oMath>
          <m:sSubSup>
            <m:e>
              <m:acc>
                <m:accPr>
                  <m:chr m:val="⃗"/>
                </m:accPr>
                <m:e>
                  <m:r>
                    <m:t>v</m:t>
                  </m:r>
                </m:e>
              </m:acc>
            </m:e>
            <m:sub>
              <m:r>
                <m:t>i</m:t>
              </m:r>
            </m:sub>
            <m:sup>
              <m:r>
                <m:t>n</m:t>
              </m:r>
              <m:r>
                <m:rPr>
                  <m:sty m:val="p"/>
                </m:rPr>
                <m:t>+</m:t>
              </m:r>
              <m:r>
                <m:t>1</m:t>
              </m:r>
            </m:sup>
          </m:sSubSup>
          <m:r>
            <m:rPr>
              <m:sty m:val="p"/>
            </m:rPr>
            <m:t>=</m:t>
          </m:r>
          <m:sSubSup>
            <m:e>
              <m:acc>
                <m:accPr>
                  <m:chr m:val="⃗"/>
                </m:accPr>
                <m:e>
                  <m:r>
                    <m:t>v</m:t>
                  </m:r>
                </m:e>
              </m:acc>
            </m:e>
            <m:sub>
              <m:r>
                <m:t>i</m:t>
              </m:r>
            </m:sub>
            <m:sup>
              <m:r>
                <m:t>n</m:t>
              </m:r>
              <m:r>
                <m:rPr>
                  <m:sty m:val="p"/>
                </m:rPr>
                <m:t>+</m:t>
              </m:r>
              <m:r>
                <m:t>1</m:t>
              </m:r>
              <m:r>
                <m:rPr>
                  <m:sty m:val="p"/>
                </m:rPr>
                <m:t>/</m:t>
              </m:r>
              <m:r>
                <m:t>2</m:t>
              </m:r>
            </m:sup>
          </m:sSubSup>
          <m:r>
            <m:rPr>
              <m:sty m:val="p"/>
            </m:rPr>
            <m:t>+</m:t>
          </m:r>
          <m:sSubSup>
            <m:e>
              <m:acc>
                <m:accPr>
                  <m:chr m:val="⃗"/>
                </m:accPr>
                <m:e>
                  <m:r>
                    <m:t>a</m:t>
                  </m:r>
                </m:e>
              </m:acc>
            </m:e>
            <m:sub>
              <m:r>
                <m:t>i</m:t>
              </m:r>
            </m:sub>
            <m:sup>
              <m:r>
                <m:t>n</m:t>
              </m:r>
              <m:r>
                <m:rPr>
                  <m:sty m:val="p"/>
                </m:rPr>
                <m:t>+</m:t>
              </m:r>
              <m:r>
                <m:t>1</m:t>
              </m:r>
            </m:sup>
          </m:sSubSup>
          <m:r>
            <m:rPr>
              <m:sty m:val="p"/>
            </m:rPr>
            <m:t>⋅</m:t>
          </m:r>
          <m:f>
            <m:fPr>
              <m:type m:val="bar"/>
            </m:fPr>
            <m:num>
              <m:r>
                <m:t>Δ</m:t>
              </m:r>
              <m:r>
                <m:t>t</m:t>
              </m:r>
            </m:num>
            <m:den>
              <m:r>
                <m:t>2</m:t>
              </m:r>
            </m:den>
          </m:f>
        </m:oMath>
      </m:oMathPara>
    </w:p>
    <w:p>
      <w:pPr>
        <w:pStyle w:val="FirstParagraph"/>
      </w:pPr>
      <w:r>
        <w:t xml:space="preserve">Критерием для выбора шага по времени является условие сохранения полной энергии системы с точностью около 0.5%.</w:t>
      </w:r>
    </w:p>
    <w:bookmarkEnd w:id="39"/>
    <w:bookmarkStart w:id="40" w:name="начальные-и-граничные-условия"/>
    <w:p>
      <w:pPr>
        <w:pStyle w:val="Heading2"/>
      </w:pPr>
      <w:r>
        <w:rPr>
          <w:rStyle w:val="SectionNumber"/>
        </w:rPr>
        <w:t xml:space="preserve">4.2</w:t>
      </w:r>
      <w:r>
        <w:tab/>
      </w:r>
      <w:r>
        <w:t xml:space="preserve">Начальные и граничные условия</w:t>
      </w:r>
    </w:p>
    <w:p>
      <w:pPr>
        <w:pStyle w:val="FirstParagraph"/>
      </w:pPr>
      <w:r>
        <w:t xml:space="preserve">Для моделирования малых кластеров используется следующий подход:</w:t>
      </w:r>
    </w:p>
    <w:p>
      <w:pPr>
        <w:pStyle w:val="Compact"/>
        <w:numPr>
          <w:ilvl w:val="0"/>
          <w:numId w:val="1003"/>
        </w:numPr>
      </w:pPr>
      <w:r>
        <w:t xml:space="preserve">Начальная конфигурация представляет собой гексагональную структуру с</w:t>
      </w:r>
      <w:r>
        <w:t xml:space="preserve"> </w:t>
      </w:r>
      <w:r>
        <w:t xml:space="preserve">“магическим”</w:t>
      </w:r>
      <w:r>
        <w:t xml:space="preserve"> </w:t>
      </w:r>
      <w:r>
        <w:t xml:space="preserve">числом частиц</w:t>
      </w:r>
    </w:p>
    <w:p>
      <w:pPr>
        <w:pStyle w:val="Compact"/>
        <w:numPr>
          <w:ilvl w:val="0"/>
          <w:numId w:val="1003"/>
        </w:numPr>
      </w:pPr>
      <w:r>
        <w:t xml:space="preserve">Начальные скорости генерируются с помощью распределения Максвелла для низкой температуры</w:t>
      </w:r>
    </w:p>
    <w:p>
      <w:pPr>
        <w:pStyle w:val="Compact"/>
        <w:numPr>
          <w:ilvl w:val="0"/>
          <w:numId w:val="1003"/>
        </w:numPr>
      </w:pPr>
      <w:r>
        <w:t xml:space="preserve">Суммарный импульс системы устанавливается равным нулю</w:t>
      </w:r>
    </w:p>
    <w:p>
      <w:pPr>
        <w:pStyle w:val="Compact"/>
        <w:numPr>
          <w:ilvl w:val="0"/>
          <w:numId w:val="1003"/>
        </w:numPr>
      </w:pPr>
      <w:r>
        <w:t xml:space="preserve">Для изолированных кластеров также устанавливается нулевой полный момент импульса</w:t>
      </w:r>
    </w:p>
    <w:bookmarkEnd w:id="40"/>
    <w:bookmarkStart w:id="45" w:name="термодинамические-характеристики"/>
    <w:p>
      <w:pPr>
        <w:pStyle w:val="Heading2"/>
      </w:pPr>
      <w:r>
        <w:rPr>
          <w:rStyle w:val="SectionNumber"/>
        </w:rPr>
        <w:t xml:space="preserve">4.3</w:t>
      </w:r>
      <w:r>
        <w:tab/>
      </w:r>
      <w:r>
        <w:t xml:space="preserve">Термодинамические характеристики</w:t>
      </w:r>
    </w:p>
    <w:p>
      <w:pPr>
        <w:pStyle w:val="FirstParagraph"/>
      </w:pPr>
      <w:r>
        <w:t xml:space="preserve">Для анализа фазового состояния системы используются следующие параметры:</w:t>
      </w:r>
    </w:p>
    <w:p>
      <w:pPr>
        <w:numPr>
          <w:ilvl w:val="0"/>
          <w:numId w:val="1004"/>
        </w:numPr>
      </w:pPr>
      <w:r>
        <w:t xml:space="preserve">Температура, вычисляемая как:</w:t>
      </w:r>
    </w:p>
    <w:p>
      <w:pPr>
        <w:pStyle w:val="BodyText"/>
      </w:pPr>
      <m:oMathPara>
        <m:oMathParaPr>
          <m:jc m:val="center"/>
        </m:oMathParaPr>
        <m:oMath>
          <m:r>
            <m:t>T</m:t>
          </m:r>
          <m:r>
            <m:rPr>
              <m:sty m:val="p"/>
            </m:rPr>
            <m:t>=</m:t>
          </m:r>
          <m:f>
            <m:fPr>
              <m:type m:val="bar"/>
            </m:fPr>
            <m:num>
              <m:r>
                <m:t>2</m:t>
              </m:r>
            </m:num>
            <m:den>
              <m:d>
                <m:dPr>
                  <m:begChr m:val="("/>
                  <m:sepChr m:val=""/>
                  <m:endChr m:val=")"/>
                  <m:grow/>
                </m:dPr>
                <m:e>
                  <m:r>
                    <m:t>2</m:t>
                  </m:r>
                  <m:r>
                    <m:t>N</m:t>
                  </m:r>
                  <m:r>
                    <m:rPr>
                      <m:sty m:val="p"/>
                    </m:rPr>
                    <m:t>−</m:t>
                  </m:r>
                  <m:r>
                    <m:t>3</m:t>
                  </m:r>
                </m:e>
              </m:d>
              <m:r>
                <m:t>k</m:t>
              </m:r>
            </m:den>
          </m:f>
          <m:nary>
            <m:naryPr>
              <m:chr m:val="∑"/>
              <m:limLoc m:val="undOvr"/>
              <m:subHide m:val="off"/>
              <m:supHide m:val="on"/>
            </m:naryPr>
            <m:sub>
              <m:r>
                <m:t>i</m:t>
              </m:r>
            </m:sub>
            <m:sup>
              <m:r>
                <m:t>​</m:t>
              </m:r>
            </m:sup>
            <m:e>
              <m:f>
                <m:fPr>
                  <m:type m:val="bar"/>
                </m:fPr>
                <m:num>
                  <m:sSub>
                    <m:e>
                      <m:r>
                        <m:t>m</m:t>
                      </m:r>
                    </m:e>
                    <m:sub>
                      <m:r>
                        <m:t>i</m:t>
                      </m:r>
                    </m:sub>
                  </m:sSub>
                  <m:sSup>
                    <m:e>
                      <m:d>
                        <m:dPr>
                          <m:begChr m:val="("/>
                          <m:sepChr m:val=""/>
                          <m:endChr m:val=")"/>
                          <m:grow/>
                        </m:dPr>
                        <m:e>
                          <m:sSub>
                            <m:e>
                              <m:acc>
                                <m:accPr>
                                  <m:chr m:val="⃗"/>
                                </m:accPr>
                                <m:e>
                                  <m:r>
                                    <m:t>v</m:t>
                                  </m:r>
                                </m:e>
                              </m:acc>
                            </m:e>
                            <m:sub>
                              <m:r>
                                <m:t>i</m:t>
                              </m:r>
                            </m:sub>
                          </m:sSub>
                          <m:r>
                            <m:rPr>
                              <m:sty m:val="p"/>
                            </m:rPr>
                            <m:t>−</m:t>
                          </m:r>
                          <m:sSub>
                            <m:e>
                              <m:acc>
                                <m:accPr>
                                  <m:chr m:val="⃗"/>
                                </m:accPr>
                                <m:e>
                                  <m:r>
                                    <m:t>v</m:t>
                                  </m:r>
                                </m:e>
                              </m:acc>
                            </m:e>
                            <m:sub>
                              <m:r>
                                <m:t>c</m:t>
                              </m:r>
                              <m:r>
                                <m:t>m</m:t>
                              </m:r>
                            </m:sub>
                          </m:sSub>
                        </m:e>
                      </m:d>
                    </m:e>
                    <m:sup>
                      <m:r>
                        <m:t>2</m:t>
                      </m:r>
                    </m:sup>
                  </m:sSup>
                </m:num>
                <m:den>
                  <m:r>
                    <m:t>2</m:t>
                  </m:r>
                </m:den>
              </m:f>
            </m:e>
          </m:nary>
        </m:oMath>
      </m:oMathPara>
    </w:p>
    <w:p>
      <w:pPr>
        <w:numPr>
          <w:ilvl w:val="0"/>
          <w:numId w:val="1000"/>
        </w:numPr>
      </w:pPr>
      <w:r>
        <w:t xml:space="preserve">где</w:t>
      </w:r>
      <w:r>
        <w:t xml:space="preserve"> </w:t>
      </w:r>
      <m:oMath>
        <m:sSub>
          <m:e>
            <m:acc>
              <m:accPr>
                <m:chr m:val="⃗"/>
              </m:accPr>
              <m:e>
                <m:r>
                  <m:t>v</m:t>
                </m:r>
              </m:e>
            </m:acc>
          </m:e>
          <m:sub>
            <m:r>
              <m:t>c</m:t>
            </m:r>
            <m:r>
              <m:t>m</m:t>
            </m:r>
          </m:sub>
        </m:sSub>
      </m:oMath>
      <w:r>
        <w:t xml:space="preserve"> </w:t>
      </w:r>
      <w:r>
        <w:t xml:space="preserve">— скорость центра масс кластера, k — постоянная Больцмана.</w:t>
      </w:r>
    </w:p>
    <w:p>
      <w:pPr>
        <w:numPr>
          <w:ilvl w:val="0"/>
          <w:numId w:val="1004"/>
        </w:numPr>
      </w:pPr>
      <w:r>
        <w:t xml:space="preserve">Среднеквадратичная флуктуация длины связи:</w:t>
      </w:r>
    </w:p>
    <w:p>
      <w:pPr>
        <w:pStyle w:val="BodyText"/>
      </w:pPr>
      <m:oMathPara>
        <m:oMathParaPr>
          <m:jc m:val="center"/>
        </m:oMathParaPr>
        <m:oMath>
          <m:r>
            <m:t>δ</m:t>
          </m:r>
          <m:r>
            <m:rPr>
              <m:sty m:val="p"/>
            </m:rPr>
            <m:t>=</m:t>
          </m:r>
          <m:rad>
            <m:radPr>
              <m:degHide m:val="on"/>
            </m:radPr>
            <m:deg/>
            <m:e>
              <m:f>
                <m:fPr>
                  <m:type m:val="bar"/>
                </m:fPr>
                <m:num>
                  <m:r>
                    <m:t>2</m:t>
                  </m:r>
                </m:num>
                <m:den>
                  <m:r>
                    <m:t>N</m:t>
                  </m:r>
                  <m:d>
                    <m:dPr>
                      <m:begChr m:val="("/>
                      <m:sepChr m:val=""/>
                      <m:endChr m:val=")"/>
                      <m:grow/>
                    </m:dPr>
                    <m:e>
                      <m:r>
                        <m:t>N</m:t>
                      </m:r>
                      <m:r>
                        <m:rPr>
                          <m:sty m:val="p"/>
                        </m:rPr>
                        <m:t>−</m:t>
                      </m:r>
                      <m:r>
                        <m:t>1</m:t>
                      </m:r>
                    </m:e>
                  </m:d>
                </m:den>
              </m:f>
              <m:nary>
                <m:naryPr>
                  <m:chr m:val="∑"/>
                  <m:limLoc m:val="undOvr"/>
                  <m:subHide m:val="off"/>
                  <m:supHide m:val="on"/>
                </m:naryPr>
                <m:sub>
                  <m:r>
                    <m:t>i</m:t>
                  </m:r>
                  <m:r>
                    <m:rPr>
                      <m:sty m:val="p"/>
                    </m:rPr>
                    <m:t>&lt;</m:t>
                  </m:r>
                  <m:r>
                    <m:t>j</m:t>
                  </m:r>
                </m:sub>
                <m:sup>
                  <m:r>
                    <m:t>​</m:t>
                  </m:r>
                </m:sup>
                <m:e>
                  <m:f>
                    <m:fPr>
                      <m:type m:val="bar"/>
                    </m:fPr>
                    <m:num>
                      <m:r>
                        <m:rPr>
                          <m:sty m:val="p"/>
                        </m:rPr>
                        <m:t>⟨</m:t>
                      </m:r>
                      <m:sSubSup>
                        <m:e>
                          <m:r>
                            <m:t>r</m:t>
                          </m:r>
                        </m:e>
                        <m:sub>
                          <m:r>
                            <m:t>i</m:t>
                          </m:r>
                          <m:r>
                            <m:t>j</m:t>
                          </m:r>
                        </m:sub>
                        <m:sup>
                          <m:r>
                            <m:t>2</m:t>
                          </m:r>
                        </m:sup>
                      </m:sSubSup>
                      <m:r>
                        <m:rPr>
                          <m:sty m:val="p"/>
                        </m:rPr>
                        <m:t>⟩</m:t>
                      </m:r>
                      <m:r>
                        <m:rPr>
                          <m:sty m:val="p"/>
                        </m:rPr>
                        <m:t>−</m:t>
                      </m:r>
                      <m:r>
                        <m:rPr>
                          <m:sty m:val="p"/>
                        </m:rPr>
                        <m:t>⟨</m:t>
                      </m:r>
                      <m:sSub>
                        <m:e>
                          <m:r>
                            <m:t>r</m:t>
                          </m:r>
                        </m:e>
                        <m:sub>
                          <m:r>
                            <m:t>i</m:t>
                          </m:r>
                          <m:r>
                            <m:t>j</m:t>
                          </m:r>
                        </m:sub>
                      </m:sSub>
                      <m:sSup>
                        <m:e>
                          <m:r>
                            <m:rPr>
                              <m:sty m:val="p"/>
                            </m:rPr>
                            <m:t>⟩</m:t>
                          </m:r>
                        </m:e>
                        <m:sup>
                          <m:r>
                            <m:t>2</m:t>
                          </m:r>
                        </m:sup>
                      </m:sSup>
                    </m:num>
                    <m:den>
                      <m:r>
                        <m:rPr>
                          <m:sty m:val="p"/>
                        </m:rPr>
                        <m:t>⟨</m:t>
                      </m:r>
                      <m:sSub>
                        <m:e>
                          <m:r>
                            <m:t>r</m:t>
                          </m:r>
                        </m:e>
                        <m:sub>
                          <m:r>
                            <m:t>i</m:t>
                          </m:r>
                          <m:r>
                            <m:t>j</m:t>
                          </m:r>
                        </m:sub>
                      </m:sSub>
                      <m:r>
                        <m:rPr>
                          <m:sty m:val="p"/>
                        </m:rPr>
                        <m:t>⟩</m:t>
                      </m:r>
                    </m:den>
                  </m:f>
                </m:e>
              </m:nary>
            </m:e>
          </m:rad>
        </m:oMath>
      </m:oMathPara>
    </w:p>
    <w:p>
      <w:pPr>
        <w:numPr>
          <w:ilvl w:val="0"/>
          <w:numId w:val="1000"/>
        </w:numPr>
      </w:pPr>
      <w:r>
        <w:t xml:space="preserve">При начале фазового перехода величина δ начинает быстро возрастать.</w:t>
      </w:r>
    </w:p>
    <w:bookmarkStart w:id="44" w:name="fig:004"/>
    <w:p>
      <w:pPr>
        <w:pStyle w:val="CaptionedFigure"/>
      </w:pPr>
      <w:r>
        <w:drawing>
          <wp:inline>
            <wp:extent cx="3733800" cy="2218908"/>
            <wp:effectExtent b="0" l="0" r="0" t="0"/>
            <wp:docPr descr="Рис. 4: Флуктуации длины связи при плавлении кластера" title="" id="42" name="Picture"/>
            <a:graphic>
              <a:graphicData uri="http://schemas.openxmlformats.org/drawingml/2006/picture">
                <pic:pic>
                  <pic:nvPicPr>
                    <pic:cNvPr descr="image/bond_fluctuations.png" id="43" name="Picture"/>
                    <pic:cNvPicPr>
                      <a:picLocks noChangeArrowheads="1" noChangeAspect="1"/>
                    </pic:cNvPicPr>
                  </pic:nvPicPr>
                  <pic:blipFill>
                    <a:blip r:embed="rId41"/>
                    <a:stretch>
                      <a:fillRect/>
                    </a:stretch>
                  </pic:blipFill>
                  <pic:spPr bwMode="auto">
                    <a:xfrm>
                      <a:off x="0" y="0"/>
                      <a:ext cx="3733800" cy="2218908"/>
                    </a:xfrm>
                    <a:prstGeom prst="rect">
                      <a:avLst/>
                    </a:prstGeom>
                    <a:noFill/>
                    <a:ln w="9525">
                      <a:noFill/>
                      <a:headEnd/>
                      <a:tailEnd/>
                    </a:ln>
                  </pic:spPr>
                </pic:pic>
              </a:graphicData>
            </a:graphic>
          </wp:inline>
        </w:drawing>
      </w:r>
    </w:p>
    <w:p>
      <w:pPr>
        <w:pStyle w:val="ImageCaption"/>
      </w:pPr>
      <w:r>
        <w:t xml:space="preserve">Рис. 4: Флуктуации длины связи при плавлении кластера</w:t>
      </w:r>
    </w:p>
    <w:bookmarkEnd w:id="44"/>
    <w:p>
      <w:pPr>
        <w:numPr>
          <w:ilvl w:val="0"/>
          <w:numId w:val="1005"/>
        </w:numPr>
      </w:pPr>
      <w:r>
        <w:t xml:space="preserve">Теплоемкость системы, определяемая как производная энергии по температуре:</w:t>
      </w:r>
    </w:p>
    <w:p>
      <w:pPr>
        <w:pStyle w:val="BodyText"/>
      </w:pPr>
      <m:oMathPara>
        <m:oMathParaPr>
          <m:jc m:val="center"/>
        </m:oMathParaPr>
        <m:oMath>
          <m:r>
            <m:t>C</m:t>
          </m:r>
          <m:r>
            <m:rPr>
              <m:sty m:val="p"/>
            </m:rPr>
            <m:t>=</m:t>
          </m:r>
          <m:f>
            <m:fPr>
              <m:type m:val="bar"/>
            </m:fPr>
            <m:num>
              <m:r>
                <m:t>d</m:t>
              </m:r>
              <m:r>
                <m:t>E</m:t>
              </m:r>
            </m:num>
            <m:den>
              <m:r>
                <m:t>d</m:t>
              </m:r>
              <m:r>
                <m:t>T</m:t>
              </m:r>
            </m:den>
          </m:f>
        </m:oMath>
      </m:oMathPara>
    </w:p>
    <w:p>
      <w:pPr>
        <w:numPr>
          <w:ilvl w:val="0"/>
          <w:numId w:val="1000"/>
        </w:numPr>
      </w:pPr>
      <w:r>
        <w:t xml:space="preserve">Пик теплоемкости соответствует фазовому переходу.</w:t>
      </w:r>
    </w:p>
    <w:p>
      <w:pPr>
        <w:numPr>
          <w:ilvl w:val="0"/>
          <w:numId w:val="1005"/>
        </w:numPr>
      </w:pPr>
      <w:r>
        <w:t xml:space="preserve">Парная корреляционная функция g(r), позволяющая различать различные фазовые состояния.</w:t>
      </w:r>
    </w:p>
    <w:bookmarkEnd w:id="45"/>
    <w:bookmarkStart w:id="50" w:name="X9d931b219ad2fb53da520acd650ca5d099d23a5"/>
    <w:p>
      <w:pPr>
        <w:pStyle w:val="Heading2"/>
      </w:pPr>
      <w:r>
        <w:rPr>
          <w:rStyle w:val="SectionNumber"/>
        </w:rPr>
        <w:t xml:space="preserve">4.4</w:t>
      </w:r>
      <w:r>
        <w:tab/>
      </w:r>
      <w:r>
        <w:t xml:space="preserve">Методика исследования плавления и затвердевания</w:t>
      </w:r>
    </w:p>
    <w:p>
      <w:pPr>
        <w:pStyle w:val="FirstParagraph"/>
      </w:pPr>
      <w:r>
        <w:t xml:space="preserve">Для исследования процессов плавления и затвердевания кластеров применяется следующая методика:</w:t>
      </w:r>
    </w:p>
    <w:p>
      <w:pPr>
        <w:pStyle w:val="Compact"/>
        <w:numPr>
          <w:ilvl w:val="0"/>
          <w:numId w:val="1006"/>
        </w:numPr>
      </w:pPr>
      <w:r>
        <w:t xml:space="preserve">Кластер с</w:t>
      </w:r>
      <w:r>
        <w:t xml:space="preserve"> </w:t>
      </w:r>
      <w:r>
        <w:t xml:space="preserve">“магическим”</w:t>
      </w:r>
      <w:r>
        <w:t xml:space="preserve"> </w:t>
      </w:r>
      <w:r>
        <w:t xml:space="preserve">числом частиц (7, 19, 37) уравновешивается при низкой температуре</w:t>
      </w:r>
    </w:p>
    <w:p>
      <w:pPr>
        <w:pStyle w:val="Compact"/>
        <w:numPr>
          <w:ilvl w:val="0"/>
          <w:numId w:val="1006"/>
        </w:numPr>
      </w:pPr>
      <w:r>
        <w:t xml:space="preserve">Проводится постепенный нагрев системы путем масштабирования скоростей частиц</w:t>
      </w:r>
    </w:p>
    <w:p>
      <w:pPr>
        <w:pStyle w:val="Compact"/>
        <w:numPr>
          <w:ilvl w:val="0"/>
          <w:numId w:val="1006"/>
        </w:numPr>
      </w:pPr>
      <w:r>
        <w:t xml:space="preserve">На каждом шаге нагрева система приводится к равновесию, после чего вычисляются и усредняются термодинамические характеристики</w:t>
      </w:r>
    </w:p>
    <w:p>
      <w:pPr>
        <w:pStyle w:val="Compact"/>
        <w:numPr>
          <w:ilvl w:val="0"/>
          <w:numId w:val="1006"/>
        </w:numPr>
      </w:pPr>
      <w:r>
        <w:t xml:space="preserve">После достижения жидкого состояния проводится обратный процесс — охлаждение</w:t>
      </w:r>
    </w:p>
    <w:p>
      <w:pPr>
        <w:pStyle w:val="Compact"/>
        <w:numPr>
          <w:ilvl w:val="0"/>
          <w:numId w:val="1006"/>
        </w:numPr>
      </w:pPr>
      <w:r>
        <w:t xml:space="preserve">Анализируются различия между кривыми нагрева и охлаждения для выявления гистерезиса</w:t>
      </w:r>
    </w:p>
    <w:p>
      <w:pPr>
        <w:pStyle w:val="Compact"/>
        <w:numPr>
          <w:ilvl w:val="0"/>
          <w:numId w:val="1006"/>
        </w:numPr>
      </w:pPr>
      <w:r>
        <w:t xml:space="preserve">Определяется зависимость температуры плавления от размера кластера</w:t>
      </w:r>
    </w:p>
    <w:bookmarkStart w:id="49" w:name="fig:005"/>
    <w:p>
      <w:pPr>
        <w:pStyle w:val="CaptionedFigure"/>
      </w:pPr>
      <w:r>
        <w:drawing>
          <wp:inline>
            <wp:extent cx="3733800" cy="1535844"/>
            <wp:effectExtent b="0" l="0" r="0" t="0"/>
            <wp:docPr descr="Рис. 5: Кривые нагрева и охлаждения кластера, демонстрирующие гистерезис" title="" id="47" name="Picture"/>
            <a:graphic>
              <a:graphicData uri="http://schemas.openxmlformats.org/drawingml/2006/picture">
                <pic:pic>
                  <pic:nvPicPr>
                    <pic:cNvPr descr="image/melting_curve.png" id="48" name="Picture"/>
                    <pic:cNvPicPr>
                      <a:picLocks noChangeArrowheads="1" noChangeAspect="1"/>
                    </pic:cNvPicPr>
                  </pic:nvPicPr>
                  <pic:blipFill>
                    <a:blip r:embed="rId46"/>
                    <a:stretch>
                      <a:fillRect/>
                    </a:stretch>
                  </pic:blipFill>
                  <pic:spPr bwMode="auto">
                    <a:xfrm>
                      <a:off x="0" y="0"/>
                      <a:ext cx="3733800" cy="1535844"/>
                    </a:xfrm>
                    <a:prstGeom prst="rect">
                      <a:avLst/>
                    </a:prstGeom>
                    <a:noFill/>
                    <a:ln w="9525">
                      <a:noFill/>
                      <a:headEnd/>
                      <a:tailEnd/>
                    </a:ln>
                  </pic:spPr>
                </pic:pic>
              </a:graphicData>
            </a:graphic>
          </wp:inline>
        </w:drawing>
      </w:r>
    </w:p>
    <w:p>
      <w:pPr>
        <w:pStyle w:val="ImageCaption"/>
      </w:pPr>
      <w:r>
        <w:t xml:space="preserve">Рис. 5: Кривые нагрева и охлаждения кластера, демонстрирующие гистерезис</w:t>
      </w:r>
    </w:p>
    <w:bookmarkEnd w:id="49"/>
    <w:bookmarkEnd w:id="50"/>
    <w:bookmarkEnd w:id="51"/>
    <w:bookmarkStart w:id="52" w:name="выводы"/>
    <w:p>
      <w:pPr>
        <w:pStyle w:val="Heading1"/>
      </w:pPr>
      <w:r>
        <w:rPr>
          <w:rStyle w:val="SectionNumber"/>
        </w:rPr>
        <w:t xml:space="preserve">5</w:t>
      </w:r>
      <w:r>
        <w:tab/>
      </w:r>
      <w:r>
        <w:t xml:space="preserve">Выводы</w:t>
      </w:r>
    </w:p>
    <w:p>
      <w:pPr>
        <w:pStyle w:val="FirstParagraph"/>
      </w:pPr>
      <w:r>
        <w:t xml:space="preserve">В данном отчете рассмотрены теоретические основы метода молекулярной динамики применительно к исследованию фазовых переходов в малых кластерах. Особое внимание уделено особенностям плавления и затвердевания наноразмерных систем с</w:t>
      </w:r>
      <w:r>
        <w:t xml:space="preserve"> </w:t>
      </w:r>
      <w:r>
        <w:t xml:space="preserve">“магическими”</w:t>
      </w:r>
      <w:r>
        <w:t xml:space="preserve"> </w:t>
      </w:r>
      <w:r>
        <w:t xml:space="preserve">числами частиц.</w:t>
      </w:r>
    </w:p>
    <w:p>
      <w:pPr>
        <w:pStyle w:val="BodyText"/>
      </w:pPr>
      <w:r>
        <w:t xml:space="preserve">Предложена физическая модель для исследования, включающая:</w:t>
      </w:r>
      <w:r>
        <w:t xml:space="preserve"> </w:t>
      </w:r>
      <w:r>
        <w:t xml:space="preserve">- Потенциал взаимодействия Леннард-Джонса</w:t>
      </w:r>
      <w:r>
        <w:t xml:space="preserve"> </w:t>
      </w:r>
      <w:r>
        <w:t xml:space="preserve">- Алгоритм Верле для численного интегрирования уравнений движения</w:t>
      </w:r>
      <w:r>
        <w:t xml:space="preserve"> </w:t>
      </w:r>
      <w:r>
        <w:t xml:space="preserve">- Методику определения фазового состояния через анализ теплоемкости и флуктуаций длины связи</w:t>
      </w:r>
    </w:p>
    <w:p>
      <w:pPr>
        <w:pStyle w:val="BodyText"/>
      </w:pPr>
      <w:r>
        <w:t xml:space="preserve">Дальнейшее развитие проекта будет направлено на программную реализацию модели и проведение численных экспериментов для кластеров различных размеров.</w:t>
      </w:r>
    </w:p>
    <w:bookmarkEnd w:id="52"/>
    <w:bookmarkStart w:id="53" w:name="список-литературы"/>
    <w:p>
      <w:pPr>
        <w:pStyle w:val="Heading1"/>
      </w:pPr>
      <w:r>
        <w:t xml:space="preserve">Список литературы</w:t>
      </w:r>
    </w:p>
    <w:p>
      <w:pPr>
        <w:pStyle w:val="FirstParagraph"/>
      </w:pPr>
      <w:r>
        <w:t xml:space="preserve">Медведев Д. А. - Моделирование физических процессов и явлений на ПК</w:t>
      </w:r>
    </w:p>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первому этапу проекта</dc:title>
  <dc:creator>Лихтенштейн Алина Алексеевна</dc:creator>
  <dc:language>ru-RU</dc:language>
  <cp:keywords/>
  <dcterms:created xsi:type="dcterms:W3CDTF">2025-03-22T15:22:49Z</dcterms:created>
  <dcterms:modified xsi:type="dcterms:W3CDTF">2025-03-22T15:22:49Z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Исследование плавления и затвердевания малых кластеров</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