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1</w:t>
      </w:r>
    </w:p>
    <w:p>
      <w:pPr>
        <w:pStyle w:val="Subtitle"/>
      </w:pPr>
      <w:r>
        <w:t xml:space="preserve">Простые модели компьютерной сети</w:t>
      </w:r>
    </w:p>
    <w:p>
      <w:pPr>
        <w:pStyle w:val="Author"/>
      </w:pPr>
      <w:r>
        <w:t xml:space="preserve">Лихтенштейн Алина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шаблон сценария для NS-2;</w:t>
      </w:r>
    </w:p>
    <w:p>
      <w:pPr>
        <w:pStyle w:val="Compact"/>
        <w:numPr>
          <w:ilvl w:val="0"/>
          <w:numId w:val="1001"/>
        </w:numPr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усложнённой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кольцевой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bookmarkStart w:id="25" w:name="fig:001"/>
    <w:p>
      <w:pPr>
        <w:pStyle w:val="CaptionedFigure"/>
      </w:pPr>
      <w:r>
        <w:drawing>
          <wp:inline>
            <wp:extent cx="3588443" cy="1006608"/>
            <wp:effectExtent b="0" l="0" r="0" t="0"/>
            <wp:docPr descr="Рис. 1: Создание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директорий и файла</w:t>
      </w:r>
    </w:p>
    <w:bookmarkEnd w:id="25"/>
    <w:p>
      <w:pPr>
        <w:pStyle w:val="BodyText"/>
      </w:pPr>
      <w:r>
        <w:t xml:space="preserve">Откроем на редактирование файл shablon.tcl (рис. 2).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bookmarkStart w:id="29" w:name="fig:002"/>
    <w:p>
      <w:pPr>
        <w:pStyle w:val="CaptionedFigure"/>
      </w:pPr>
      <w:r>
        <w:drawing>
          <wp:inline>
            <wp:extent cx="3733800" cy="3951302"/>
            <wp:effectExtent b="0" l="0" r="0" t="0"/>
            <wp:docPr descr="Рис. 2: Редактирование файла shablon.tc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shablon.tcl</w:t>
      </w:r>
    </w:p>
    <w:bookmarkEnd w:id="29"/>
    <w:p>
      <w:pPr>
        <w:pStyle w:val="BodyText"/>
      </w:pPr>
      <w:r>
        <w:t xml:space="preserve">Сохранив изменения в отредактированном файле shablon.tcl и закрыв его, запустим симулятор командой</w:t>
      </w:r>
      <w:r>
        <w:t xml:space="preserve"> </w:t>
      </w:r>
      <w:r>
        <w:rPr>
          <w:rStyle w:val="VerbatimChar"/>
        </w:rPr>
        <w:t xml:space="preserve">ns shablon.tcl</w:t>
      </w:r>
      <w:r>
        <w:t xml:space="preserve">. Увидим пустую область моделирования, поскольку ещё не определены никакие объекты и действия (рис. 3).</w:t>
      </w:r>
    </w:p>
    <w:bookmarkStart w:id="33" w:name="fig:003"/>
    <w:p>
      <w:pPr>
        <w:pStyle w:val="CaptionedFigure"/>
      </w:pPr>
      <w:r>
        <w:drawing>
          <wp:inline>
            <wp:extent cx="3733800" cy="3133004"/>
            <wp:effectExtent b="0" l="0" r="0" t="0"/>
            <wp:docPr descr="Рис. 3: Запуск шаблона сценария для NS-2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шаблона сценария для NS-2</w:t>
      </w:r>
    </w:p>
    <w:bookmarkEnd w:id="33"/>
    <w:bookmarkEnd w:id="34"/>
    <w:bookmarkStart w:id="43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и 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 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“finish”</w:t>
      </w:r>
      <w:r>
        <w:t xml:space="preserve">) (рис. 4).</w:t>
      </w:r>
    </w:p>
    <w:bookmarkStart w:id="38" w:name="fig:004"/>
    <w:p>
      <w:pPr>
        <w:pStyle w:val="CaptionedFigure"/>
      </w:pPr>
      <w:r>
        <w:drawing>
          <wp:inline>
            <wp:extent cx="3619179" cy="5732289"/>
            <wp:effectExtent b="0" l="0" r="0" t="0"/>
            <wp:docPr descr="Рис. 4: Пример описания топологии сети, состоящей из двух узлов и одного соединен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573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описания топологии сети, состоящей из двух узлов и одного соединения</w:t>
      </w:r>
    </w:p>
    <w:bookmarkEnd w:id="38"/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5).</w:t>
      </w:r>
    </w:p>
    <w:bookmarkStart w:id="42" w:name="fig:005"/>
    <w:p>
      <w:pPr>
        <w:pStyle w:val="CaptionedFigure"/>
      </w:pPr>
      <w:r>
        <w:drawing>
          <wp:inline>
            <wp:extent cx="3733800" cy="3150646"/>
            <wp:effectExtent b="0" l="0" r="0" t="0"/>
            <wp:docPr descr="Рис. 5: Визуализация простой модели сети с помощью nam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Визуализация простой модели сети с помощью nam</w:t>
      </w:r>
    </w:p>
    <w:bookmarkEnd w:id="42"/>
    <w:p>
      <w:pPr>
        <w:pStyle w:val="BodyText"/>
      </w:pP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</w:t>
      </w:r>
    </w:p>
    <w:bookmarkEnd w:id="43"/>
    <w:bookmarkStart w:id="52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моделируемой сети: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4 узлов (n0, n1, n2, n3);</w:t>
      </w:r>
    </w:p>
    <w:p>
      <w:pPr>
        <w:pStyle w:val="Compact"/>
        <w:numPr>
          <w:ilvl w:val="0"/>
          <w:numId w:val="1002"/>
        </w:numPr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pStyle w:val="Compact"/>
        <w:numPr>
          <w:ilvl w:val="0"/>
          <w:numId w:val="1002"/>
        </w:numPr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pStyle w:val="Compact"/>
        <w:numPr>
          <w:ilvl w:val="0"/>
          <w:numId w:val="1002"/>
        </w:numPr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pStyle w:val="Compact"/>
        <w:numPr>
          <w:ilvl w:val="0"/>
          <w:numId w:val="1002"/>
        </w:numPr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</w:p>
    <w:p>
      <w:pPr>
        <w:pStyle w:val="Compact"/>
        <w:numPr>
          <w:ilvl w:val="0"/>
          <w:numId w:val="1002"/>
        </w:numPr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pStyle w:val="Compact"/>
        <w:numPr>
          <w:ilvl w:val="0"/>
          <w:numId w:val="1002"/>
        </w:numPr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pStyle w:val="Compact"/>
        <w:numPr>
          <w:ilvl w:val="0"/>
          <w:numId w:val="1002"/>
        </w:numPr>
      </w:pPr>
      <w:r>
        <w:t xml:space="preserve">генераторы трафика ftp и cbr прикреплены к TCP и UDP агентам соответственно;</w:t>
      </w:r>
    </w:p>
    <w:p>
      <w:pPr>
        <w:pStyle w:val="Compact"/>
        <w:numPr>
          <w:ilvl w:val="0"/>
          <w:numId w:val="1002"/>
        </w:numPr>
      </w:pPr>
      <w:r>
        <w:t xml:space="preserve">генератор cbr генерирует пакеты размером 1 Кбайт со скоростью 1 Мбит/с;</w:t>
      </w:r>
    </w:p>
    <w:p>
      <w:pPr>
        <w:pStyle w:val="Compact"/>
        <w:numPr>
          <w:ilvl w:val="0"/>
          <w:numId w:val="1002"/>
        </w:numPr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</w:p>
    <w:p>
      <w:pPr>
        <w:pStyle w:val="BodyText"/>
      </w:pPr>
      <w:r>
        <w:t xml:space="preserve">Создадим 4 узла и 3 дуплексных соединения с указанием направления. Затем создадим агент UDP с прикреплённым к нему источником CBR и агент TCP с прикреплённым к нему приложением FTP. 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at-события. (рис. 6).</w:t>
      </w:r>
    </w:p>
    <w:bookmarkStart w:id="47" w:name="fig:006"/>
    <w:p>
      <w:pPr>
        <w:pStyle w:val="CaptionedFigure"/>
      </w:pPr>
      <w:r>
        <w:drawing>
          <wp:inline>
            <wp:extent cx="3457815" cy="6124174"/>
            <wp:effectExtent b="0" l="0" r="0" t="0"/>
            <wp:docPr descr="Рис. 6: Скрипт усложненной топологии сет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61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Скрипт усложненной топологии сети</w:t>
      </w:r>
    </w:p>
    <w:bookmarkEnd w:id="47"/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7).</w:t>
      </w:r>
    </w:p>
    <w:bookmarkStart w:id="51" w:name="fig:007"/>
    <w:p>
      <w:pPr>
        <w:pStyle w:val="CaptionedFigure"/>
      </w:pPr>
      <w:r>
        <w:drawing>
          <wp:inline>
            <wp:extent cx="3733800" cy="3174552"/>
            <wp:effectExtent b="0" l="0" r="0" t="0"/>
            <wp:docPr descr="Рис. 7: Визуализация усложненной топологии сети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Визуализация усложненной топологии сети</w:t>
      </w:r>
    </w:p>
    <w:bookmarkEnd w:id="51"/>
    <w:bookmarkEnd w:id="52"/>
    <w:bookmarkStart w:id="77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pStyle w:val="Compact"/>
        <w:numPr>
          <w:ilvl w:val="0"/>
          <w:numId w:val="1003"/>
        </w:numPr>
      </w:pPr>
      <w:r>
        <w:t xml:space="preserve">сеть состоит из 7 узлов, соединённых в кольцо;</w:t>
      </w:r>
    </w:p>
    <w:p>
      <w:pPr>
        <w:pStyle w:val="Compact"/>
        <w:numPr>
          <w:ilvl w:val="0"/>
          <w:numId w:val="1003"/>
        </w:numPr>
      </w:pPr>
      <w:r>
        <w:t xml:space="preserve">данные передаются от узла n(0) к узлу n(3) по кратчайшему пути;</w:t>
      </w:r>
    </w:p>
    <w:p>
      <w:pPr>
        <w:pStyle w:val="Compact"/>
        <w:numPr>
          <w:ilvl w:val="0"/>
          <w:numId w:val="1003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pStyle w:val="Compact"/>
        <w:numPr>
          <w:ilvl w:val="0"/>
          <w:numId w:val="1003"/>
        </w:numPr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</w:t>
      </w:r>
    </w:p>
    <w:p>
      <w:pPr>
        <w:pStyle w:val="BodyText"/>
      </w:pPr>
      <w:r>
        <w:t xml:space="preserve">Опишем топологию моделируемой сети. Соединим узлы так, чтобы создать круговую топологию. 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  <w:r>
        <w:t xml:space="preserve"> </w:t>
      </w:r>
      <w:r>
        <w:t xml:space="preserve">Зададим передачу данных от узла n(0) к узлу n(3). Данные передаются по кратчайшему маршруту от узла n(0) к узлу n(3), через узлы n(1) и n(2).</w:t>
      </w:r>
      <w:r>
        <w:t xml:space="preserve"> </w:t>
      </w: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данных. (рис. 8)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rPr>
          <w:rStyle w:val="VerbatimChar"/>
        </w:rPr>
        <w:t xml:space="preserve">$ns rtproto DV</w:t>
      </w:r>
    </w:p>
    <w:bookmarkStart w:id="56" w:name="fig:008"/>
    <w:p>
      <w:pPr>
        <w:pStyle w:val="CaptionedFigure"/>
      </w:pPr>
      <w:r>
        <w:drawing>
          <wp:inline>
            <wp:extent cx="3733800" cy="3465131"/>
            <wp:effectExtent b="0" l="0" r="0" t="0"/>
            <wp:docPr descr="Рис. 8: Скрипт кольцевой топологии сети и динамической маршрутизацией пакетов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Скрипт кольцевой топологии сети и динамической маршрутизацией пакетов</w:t>
      </w:r>
    </w:p>
    <w:bookmarkEnd w:id="56"/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 узлы n(6), n(5) и n(4). (рис. 9).</w:t>
      </w:r>
    </w:p>
    <w:bookmarkStart w:id="60" w:name="fig:009"/>
    <w:p>
      <w:pPr>
        <w:pStyle w:val="CaptionedFigure"/>
      </w:pPr>
      <w:r>
        <w:drawing>
          <wp:inline>
            <wp:extent cx="3733800" cy="3096026"/>
            <wp:effectExtent b="0" l="0" r="0" t="0"/>
            <wp:docPr descr="Рис. 9: Передача данных по кратчайшему пути сети с кольцевой топологией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Передача данных по кратчайшему пути сети с кольцевой топологией</w:t>
      </w:r>
    </w:p>
    <w:bookmarkEnd w:id="60"/>
    <w:p>
      <w:pPr>
        <w:pStyle w:val="BodyText"/>
      </w:pPr>
      <w:r>
        <w:t xml:space="preserve">Передача данных при кольцевой топологии сети в случае разрыва соединения</w:t>
      </w:r>
      <w:r>
        <w:t xml:space="preserve"> </w:t>
      </w:r>
      <w:r>
        <w:t xml:space="preserve">представлена на рис. 10.</w:t>
      </w:r>
    </w:p>
    <w:bookmarkStart w:id="64" w:name="fig:010"/>
    <w:p>
      <w:pPr>
        <w:pStyle w:val="CaptionedFigure"/>
      </w:pPr>
      <w:r>
        <w:drawing>
          <wp:inline>
            <wp:extent cx="3733800" cy="3136554"/>
            <wp:effectExtent b="0" l="0" r="0" t="0"/>
            <wp:docPr descr="Рис. 10: Передача данных по сети с кольцевой топологией в случае разрыва соединения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Передача данных по сети с кольцевой топологией в случае разрыва соединения</w:t>
      </w:r>
    </w:p>
    <w:bookmarkEnd w:id="64"/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pStyle w:val="Compact"/>
        <w:numPr>
          <w:ilvl w:val="0"/>
          <w:numId w:val="1004"/>
        </w:numPr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n(1)(11).</w:t>
      </w:r>
    </w:p>
    <w:bookmarkStart w:id="68" w:name="fig:011"/>
    <w:p>
      <w:pPr>
        <w:pStyle w:val="CaptionedFigure"/>
      </w:pPr>
      <w:r>
        <w:drawing>
          <wp:inline>
            <wp:extent cx="3557707" cy="5624712"/>
            <wp:effectExtent b="0" l="0" r="0" t="0"/>
            <wp:docPr descr="Рис. 11: Скрипт для упражнения по построению топологии сети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7" cy="562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Скрипт для упражнения по построению топологии сети</w:t>
      </w:r>
    </w:p>
    <w:bookmarkEnd w:id="68"/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(12).</w:t>
      </w:r>
    </w:p>
    <w:bookmarkStart w:id="72" w:name="fig:012"/>
    <w:p>
      <w:pPr>
        <w:pStyle w:val="CaptionedFigure"/>
      </w:pPr>
      <w:r>
        <w:drawing>
          <wp:inline>
            <wp:extent cx="3733800" cy="3197497"/>
            <wp:effectExtent b="0" l="0" r="0" t="0"/>
            <wp:docPr descr="Рис. 12: Передача данных по изменённой кольцевой топологии сет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Передача данных по изменённой кольцевой топологии сети</w:t>
      </w:r>
    </w:p>
    <w:bookmarkEnd w:id="72"/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 (13).</w:t>
      </w:r>
    </w:p>
    <w:bookmarkStart w:id="76" w:name="fig:013"/>
    <w:p>
      <w:pPr>
        <w:pStyle w:val="CaptionedFigure"/>
      </w:pPr>
      <w:r>
        <w:drawing>
          <wp:inline>
            <wp:extent cx="3733800" cy="3161554"/>
            <wp:effectExtent b="0" l="0" r="0" t="0"/>
            <wp:docPr descr="Рис. 13: Передача данных по сети в случае разрыва соединения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Передача данных по сети в случае разрыва соединения</w:t>
      </w:r>
    </w:p>
    <w:bookmarkEnd w:id="76"/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были успешно приобретены навыки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bookmarkEnd w:id="79"/>
    <w:bookmarkStart w:id="8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Королькова А.В., Кулябов Д.С. Моделирование информационных процессов</w:t>
      </w:r>
    </w:p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Лихтенштейн Алина Алексеевна</dc:creator>
  <dc:language>ru-RU</dc:language>
  <cp:keywords/>
  <dcterms:created xsi:type="dcterms:W3CDTF">2025-03-16T14:21:18Z</dcterms:created>
  <dcterms:modified xsi:type="dcterms:W3CDTF">2025-03-16T14:21:18Z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Простые модели компьютерной сети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