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10</w:t>
      </w:r>
    </w:p>
    <w:p>
      <w:pPr>
        <w:pStyle w:val="Subtitle"/>
      </w:pPr>
      <w:r>
        <w:t xml:space="preserve">Задача об обедающих мудрецах</w:t>
      </w:r>
    </w:p>
    <w:p>
      <w:pPr>
        <w:pStyle w:val="Author"/>
      </w:pPr>
      <w:r>
        <w:t xml:space="preserve">Лихтенштейн Алина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 задачи об обедающих мудрецах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задачи об обедающих мудрецах в CPN Tools;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Нарисуем граф сети. Для этого с помощью контекстного меню создадим новую сеть,</w:t>
      </w:r>
      <w:r>
        <w:t xml:space="preserve"> </w:t>
      </w:r>
      <w:r>
        <w:t xml:space="preserve">добавим позиции, переходы и дуги (рис. 1).</w:t>
      </w:r>
    </w:p>
    <w:p>
      <w:pPr>
        <w:pStyle w:val="BodyText"/>
      </w:pPr>
      <w:r>
        <w:t xml:space="preserve">Начальные данные:</w:t>
      </w:r>
    </w:p>
    <w:p>
      <w:pPr>
        <w:pStyle w:val="Compact"/>
        <w:numPr>
          <w:ilvl w:val="0"/>
          <w:numId w:val="1002"/>
        </w:numPr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pStyle w:val="Compact"/>
        <w:numPr>
          <w:ilvl w:val="0"/>
          <w:numId w:val="1002"/>
        </w:numPr>
      </w:pPr>
      <w:r>
        <w:t xml:space="preserve">переходы: взять палочки (take sticks), положить палочки (put sticks)</w:t>
      </w:r>
    </w:p>
    <w:bookmarkStart w:id="24" w:name="fig:001"/>
    <w:p>
      <w:pPr>
        <w:pStyle w:val="CaptionedFigure"/>
      </w:pPr>
      <w:r>
        <w:drawing>
          <wp:inline>
            <wp:extent cx="3473183" cy="3250346"/>
            <wp:effectExtent b="0" l="0" r="0" t="0"/>
            <wp:docPr descr="Рис. 1: Граф сети задачи об обедающих мудрецах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3250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задачи об обедающих мудрецах</w:t>
      </w:r>
    </w:p>
    <w:bookmarkEnd w:id="24"/>
    <w:p>
      <w:pPr>
        <w:pStyle w:val="BodyText"/>
      </w:pPr>
      <w:r>
        <w:t xml:space="preserve">В меню зададим новые декларации модели (рис. 2):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pStyle w:val="Compact"/>
        <w:numPr>
          <w:ilvl w:val="0"/>
          <w:numId w:val="1003"/>
        </w:numPr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bookmarkStart w:id="28" w:name="fig:002"/>
    <w:p>
      <w:pPr>
        <w:pStyle w:val="CaptionedFigure"/>
      </w:pPr>
      <w:r>
        <w:drawing>
          <wp:inline>
            <wp:extent cx="2074689" cy="1828800"/>
            <wp:effectExtent b="0" l="0" r="0" t="0"/>
            <wp:docPr descr="Рис. 2: Задание деклараций задачи об обедающих мудрецах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689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деклараций задачи об обедающих мудрецах</w:t>
      </w:r>
    </w:p>
    <w:bookmarkEnd w:id="28"/>
    <w:p>
      <w:pPr>
        <w:pStyle w:val="BodyText"/>
      </w:pPr>
      <w:r>
        <w:t xml:space="preserve">В результате получим работающую модель (рис. 3).</w:t>
      </w:r>
    </w:p>
    <w:bookmarkStart w:id="32" w:name="fig:003"/>
    <w:p>
      <w:pPr>
        <w:pStyle w:val="CaptionedFigure"/>
      </w:pPr>
      <w:r>
        <w:drawing>
          <wp:inline>
            <wp:extent cx="3733800" cy="3056210"/>
            <wp:effectExtent b="0" l="0" r="0" t="0"/>
            <wp:docPr descr="Рис. 3: Модель задачи об обедающих мудреца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6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об обедающих мудрецах</w:t>
      </w:r>
    </w:p>
    <w:bookmarkEnd w:id="32"/>
    <w:p>
      <w:pPr>
        <w:pStyle w:val="BodyText"/>
      </w:pPr>
      <w:r>
        <w:t xml:space="preserve">Заметим, что одновременно палочками могут воспользоваться только два из пяти мудрецов (рис. 4).</w:t>
      </w:r>
    </w:p>
    <w:bookmarkStart w:id="36" w:name="fig:004"/>
    <w:p>
      <w:pPr>
        <w:pStyle w:val="CaptionedFigure"/>
      </w:pPr>
      <w:r>
        <w:drawing>
          <wp:inline>
            <wp:extent cx="3733800" cy="3001827"/>
            <wp:effectExtent b="0" l="0" r="0" t="0"/>
            <wp:docPr descr="Рис. 4: Запуск модели задачи об обедающих мудрецах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1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модели задачи об обедающих мудрецах</w:t>
      </w:r>
    </w:p>
    <w:bookmarkEnd w:id="36"/>
    <w:bookmarkStart w:id="41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Сформируем отчёт о пространстве состояний и проанализируем его.</w:t>
      </w:r>
    </w:p>
    <w:p>
      <w:pPr>
        <w:pStyle w:val="BodyText"/>
      </w:pPr>
      <w:r>
        <w:t xml:space="preserve">Из отчета можем узнать, что:</w:t>
      </w:r>
    </w:p>
    <w:p>
      <w:pPr>
        <w:pStyle w:val="Compact"/>
        <w:numPr>
          <w:ilvl w:val="0"/>
          <w:numId w:val="1004"/>
        </w:numPr>
      </w:pPr>
      <w:r>
        <w:t xml:space="preserve">есть 11 состояний и 30 переходов между ними;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pStyle w:val="Compact"/>
        <w:numPr>
          <w:ilvl w:val="0"/>
          <w:numId w:val="1004"/>
        </w:numPr>
      </w:pPr>
      <w:r>
        <w:t xml:space="preserve">указаны границы в виде мультимножеств;</w:t>
      </w:r>
    </w:p>
    <w:p>
      <w:pPr>
        <w:pStyle w:val="Compact"/>
        <w:numPr>
          <w:ilvl w:val="0"/>
          <w:numId w:val="1004"/>
        </w:numPr>
      </w:pPr>
      <w:r>
        <w:t xml:space="preserve">маркировка home для всех состояний;</w:t>
      </w:r>
    </w:p>
    <w:p>
      <w:pPr>
        <w:pStyle w:val="Compact"/>
        <w:numPr>
          <w:ilvl w:val="0"/>
          <w:numId w:val="1004"/>
        </w:numPr>
      </w:pPr>
      <w:r>
        <w:t xml:space="preserve">маркировка dead равна None;</w:t>
      </w:r>
    </w:p>
    <w:p>
      <w:pPr>
        <w:pStyle w:val="Compact"/>
        <w:numPr>
          <w:ilvl w:val="0"/>
          <w:numId w:val="1004"/>
        </w:numPr>
      </w:pPr>
      <w:r>
        <w:t xml:space="preserve">указано, что бесконечно часто происходят события положить и взять палочку.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/home/openmodelica/philosopher.cpn</w:t>
      </w:r>
      <w:r>
        <w:br/>
      </w:r>
      <w:r>
        <w:rPr>
          <w:rStyle w:val="VerbatimChar"/>
        </w:rPr>
        <w:t xml:space="preserve">Report generated: Sat May 25 00:45:34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philosopher'take_stiicks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Построим граф пространства состояний (рис. 5).</w:t>
      </w:r>
    </w:p>
    <w:bookmarkStart w:id="40" w:name="fig:005"/>
    <w:p>
      <w:pPr>
        <w:pStyle w:val="CaptionedFigure"/>
      </w:pPr>
      <w:r>
        <w:drawing>
          <wp:inline>
            <wp:extent cx="3733800" cy="2765777"/>
            <wp:effectExtent b="0" l="0" r="0" t="0"/>
            <wp:docPr descr="Рис. 5: Граф пространства состояний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5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 пространства состояний</w:t>
      </w:r>
    </w:p>
    <w:bookmarkEnd w:id="40"/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реализована модель задачи об обедающих мудрецах в CPN Tools.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Лихтенштейн Алина Алексеевна</dc:creator>
  <dc:language>ru-RU</dc:language>
  <cp:keywords/>
  <dcterms:created xsi:type="dcterms:W3CDTF">2025-03-15T20:37:59Z</dcterms:created>
  <dcterms:modified xsi:type="dcterms:W3CDTF">2025-03-15T20:37:59Z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Задача об обедающих мудрецах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