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№15</w:t>
      </w:r>
    </w:p>
    <w:p>
      <w:pPr>
        <w:pStyle w:val="Subtitle"/>
      </w:pPr>
      <w:r>
        <w:t xml:space="preserve">Модели обслуживания с приоритетами</w:t>
      </w:r>
    </w:p>
    <w:p>
      <w:pPr>
        <w:pStyle w:val="Author"/>
      </w:pPr>
      <w:r>
        <w:t xml:space="preserve">Лихтенштейн Алина 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Выполнить моделирование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44"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0"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w:t>
      </w:r>
      <w:r>
        <w:t xml:space="preserve"> </w:t>
      </w:r>
      <w:r>
        <w:t xml:space="preserve">механикам, обслуживающим станки. Время, необходимое для удовлетворения запроса, зависит от типа запасной части. Запросы бывают двух категорий.</w:t>
      </w:r>
    </w:p>
    <w:p>
      <w:pPr>
        <w:numPr>
          <w:ilvl w:val="0"/>
          <w:numId w:val="1002"/>
        </w:numPr>
      </w:pPr>
      <w:r>
        <w:t xml:space="preserve">Для первой категории интервалы времени прихода механиков 420 ± 360 сек., время обслуживания — 300 ± 90 сек.</w:t>
      </w:r>
    </w:p>
    <w:p>
      <w:pPr>
        <w:numPr>
          <w:ilvl w:val="0"/>
          <w:numId w:val="1002"/>
        </w:numPr>
      </w:pPr>
      <w:r>
        <w:t xml:space="preserve">Для второй категории интервалы времени прихода механиков 360 ± 240 сек., время обслуживания — 100 ± 30 сек.</w:t>
      </w:r>
    </w:p>
    <w:p>
      <w:pPr>
        <w:pStyle w:val="FirstParagraph"/>
      </w:pPr>
      <w:r>
        <w:t xml:space="preserve">Порядок обслуживания механиков кладовщиком такой: запросы первой категории</w:t>
      </w:r>
      <w:r>
        <w:t xml:space="preserve"> </w:t>
      </w:r>
      <w:r>
        <w:t xml:space="preserve">обслуживаются только в том случае, когда в очереди нет ни одного запроса второй категории. Внутри одной категории дисциплина обслуживания — «первым пришел – первым обслужился». Необходимо создать модель работы кладовой, моделирование выполнять в течение восьмичасового рабочего дня.</w:t>
      </w:r>
    </w:p>
    <w:p>
      <w:pPr>
        <w:pStyle w:val="BodyText"/>
      </w:pPr>
      <w:r>
        <w:t xml:space="preserve">Таким образом, имеем (рис. fig. 1).</w:t>
      </w:r>
    </w:p>
    <w:bookmarkStart w:id="25" w:name="fig:001"/>
    <w:p>
      <w:pPr>
        <w:pStyle w:val="CaptionedFigure"/>
      </w:pPr>
      <w:r>
        <w:drawing>
          <wp:inline>
            <wp:extent cx="2282157" cy="3234978"/>
            <wp:effectExtent b="0" l="0" r="0" t="0"/>
            <wp:docPr descr="Рис. 1: Модель обслуживания механиков на складе"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2282157" cy="3234978"/>
                    </a:xfrm>
                    <a:prstGeom prst="rect">
                      <a:avLst/>
                    </a:prstGeom>
                    <a:noFill/>
                    <a:ln w="9525">
                      <a:noFill/>
                      <a:headEnd/>
                      <a:tailEnd/>
                    </a:ln>
                  </pic:spPr>
                </pic:pic>
              </a:graphicData>
            </a:graphic>
          </wp:inline>
        </w:drawing>
      </w:r>
    </w:p>
    <w:p>
      <w:pPr>
        <w:pStyle w:val="ImageCaption"/>
      </w:pPr>
      <w:r>
        <w:t xml:space="preserve">Рис. 1: Модель обслуживания механиков на складе</w:t>
      </w:r>
    </w:p>
    <w:bookmarkEnd w:id="25"/>
    <w:p>
      <w:pPr>
        <w:pStyle w:val="BodyText"/>
      </w:pPr>
      <w:r>
        <w:t xml:space="preserve">После запуска симуляции получаем отчёт (рис. fig. 2).</w:t>
      </w:r>
    </w:p>
    <w:bookmarkStart w:id="29" w:name="fig:002"/>
    <w:p>
      <w:pPr>
        <w:pStyle w:val="CaptionedFigure"/>
      </w:pPr>
      <w:r>
        <w:drawing>
          <wp:inline>
            <wp:extent cx="3733800" cy="4203788"/>
            <wp:effectExtent b="0" l="0" r="0" t="0"/>
            <wp:docPr descr="Рис. 2: Отчёт по модели обслуживания механиков на складе"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4203788"/>
                    </a:xfrm>
                    <a:prstGeom prst="rect">
                      <a:avLst/>
                    </a:prstGeom>
                    <a:noFill/>
                    <a:ln w="9525">
                      <a:noFill/>
                      <a:headEnd/>
                      <a:tailEnd/>
                    </a:ln>
                  </pic:spPr>
                </pic:pic>
              </a:graphicData>
            </a:graphic>
          </wp:inline>
        </w:drawing>
      </w:r>
    </w:p>
    <w:p>
      <w:pPr>
        <w:pStyle w:val="ImageCaption"/>
      </w:pPr>
      <w:r>
        <w:t xml:space="preserve">Рис. 2: Отчёт по модели обслуживания механиков на складе</w:t>
      </w:r>
    </w:p>
    <w:bookmarkEnd w:id="29"/>
    <w:p>
      <w:pPr>
        <w:pStyle w:val="BodyText"/>
      </w:pPr>
      <w:r>
        <w:t xml:space="preserve">Результаты работы модели:</w:t>
      </w:r>
    </w:p>
    <w:p>
      <w:pPr>
        <w:pStyle w:val="Compact"/>
        <w:numPr>
          <w:ilvl w:val="0"/>
          <w:numId w:val="1003"/>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3"/>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=28800.000;</w:t>
      </w:r>
    </w:p>
    <w:p>
      <w:pPr>
        <w:pStyle w:val="Compact"/>
        <w:numPr>
          <w:ilvl w:val="0"/>
          <w:numId w:val="1003"/>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pStyle w:val="Compact"/>
        <w:numPr>
          <w:ilvl w:val="0"/>
          <w:numId w:val="1003"/>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pStyle w:val="Compact"/>
        <w:numPr>
          <w:ilvl w:val="0"/>
          <w:numId w:val="1003"/>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w:t>
      </w:r>
      <w:r>
        <w:t xml:space="preserve"> </w:t>
      </w:r>
      <w:r>
        <w:rPr>
          <w:rStyle w:val="VerbatimChar"/>
        </w:rPr>
        <w:t xml:space="preserve">qs2</w:t>
      </w:r>
      <w:r>
        <w:t xml:space="preserve">,</w:t>
      </w:r>
      <w:r>
        <w:t xml:space="preserve"> </w:t>
      </w:r>
      <w:r>
        <w:rPr>
          <w:rStyle w:val="VerbatimChar"/>
        </w:rPr>
        <w:t xml:space="preserve">stockman</w:t>
      </w:r>
      <w:r>
        <w:t xml:space="preserve">.</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сек.</w:t>
      </w:r>
    </w:p>
    <w:p>
      <w:pPr>
        <w:pStyle w:val="BodyText"/>
      </w:pPr>
      <w:r>
        <w:t xml:space="preserve">Далее информация об очереди:</w:t>
      </w:r>
    </w:p>
    <w:p>
      <w:pPr>
        <w:pStyle w:val="BodyText"/>
      </w:pPr>
      <w:r>
        <w:t xml:space="preserve">Далее информация об очередях:</w:t>
      </w:r>
    </w:p>
    <w:p>
      <w:pPr>
        <w:numPr>
          <w:ilvl w:val="0"/>
          <w:numId w:val="1004"/>
        </w:numPr>
      </w:pPr>
      <w:r>
        <w:rPr>
          <w:rStyle w:val="VerbatimChar"/>
        </w:rPr>
        <w:t xml:space="preserve">QUEUE</w:t>
      </w:r>
      <w:r>
        <w:t xml:space="preserve">=QS1 – имя объекта типа «очередь» для первого типа заявок;</w:t>
      </w:r>
    </w:p>
    <w:p>
      <w:pPr>
        <w:numPr>
          <w:ilvl w:val="0"/>
          <w:numId w:val="1004"/>
        </w:numPr>
      </w:pPr>
      <w:r>
        <w:rPr>
          <w:rStyle w:val="VerbatimChar"/>
        </w:rPr>
        <w:t xml:space="preserve">MAX</w:t>
      </w:r>
      <w:r>
        <w:t xml:space="preserve">=8 – максимальное число ожидающих заявок от клиента в очереди;</w:t>
      </w:r>
    </w:p>
    <w:p>
      <w:pPr>
        <w:numPr>
          <w:ilvl w:val="0"/>
          <w:numId w:val="1004"/>
        </w:numPr>
      </w:pPr>
      <w:r>
        <w:rPr>
          <w:rStyle w:val="VerbatimChar"/>
        </w:rPr>
        <w:t xml:space="preserve">CONT</w:t>
      </w:r>
      <w:r>
        <w:t xml:space="preserve">=6 – количество заявок в очереди на момент завершения моделирования;</w:t>
      </w:r>
    </w:p>
    <w:p>
      <w:pPr>
        <w:numPr>
          <w:ilvl w:val="0"/>
          <w:numId w:val="1004"/>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4"/>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4"/>
        </w:numPr>
      </w:pPr>
      <w:r>
        <w:rPr>
          <w:rStyle w:val="VerbatimChar"/>
        </w:rPr>
        <w:t xml:space="preserve">AVE.CONT</w:t>
      </w:r>
      <w:r>
        <w:t xml:space="preserve">=2,177 заявок от клиентов в среднем были в очереди;</w:t>
      </w:r>
    </w:p>
    <w:p>
      <w:pPr>
        <w:numPr>
          <w:ilvl w:val="0"/>
          <w:numId w:val="1004"/>
        </w:numPr>
      </w:pPr>
      <w:r>
        <w:rPr>
          <w:rStyle w:val="VerbatimChar"/>
        </w:rPr>
        <w:t xml:space="preserve">AVE.TIME</w:t>
      </w:r>
      <w:r>
        <w:t xml:space="preserve">=883,029 секунд в среднем заявки от клиентов провели в очереди (с учётом всех входов в очередь);</w:t>
      </w:r>
    </w:p>
    <w:p>
      <w:pPr>
        <w:numPr>
          <w:ilvl w:val="0"/>
          <w:numId w:val="1004"/>
        </w:numPr>
      </w:pPr>
      <w:r>
        <w:rPr>
          <w:rStyle w:val="VerbatimChar"/>
        </w:rPr>
        <w:t xml:space="preserve">AVE.(–0)</w:t>
      </w:r>
      <w:r>
        <w:t xml:space="preserve">=935,747 секунд в среднем заявки от клиентов провели в очереди (без учета «нулевых» входов в очередь).</w:t>
      </w:r>
    </w:p>
    <w:p>
      <w:pPr>
        <w:numPr>
          <w:ilvl w:val="0"/>
          <w:numId w:val="1004"/>
        </w:numPr>
      </w:pPr>
      <w:r>
        <w:rPr>
          <w:rStyle w:val="VerbatimChar"/>
        </w:rPr>
        <w:t xml:space="preserve">QUEUE</w:t>
      </w:r>
      <w:r>
        <w:t xml:space="preserve">=QS2 – имя объекта типа «очередь» для второго типа заявок;</w:t>
      </w:r>
    </w:p>
    <w:p>
      <w:pPr>
        <w:numPr>
          <w:ilvl w:val="0"/>
          <w:numId w:val="1004"/>
        </w:numPr>
      </w:pPr>
      <w:r>
        <w:rPr>
          <w:rStyle w:val="VerbatimChar"/>
        </w:rPr>
        <w:t xml:space="preserve">MAX</w:t>
      </w:r>
      <w:r>
        <w:t xml:space="preserve">=3 – максимальное число ожидающих заявок от клиента в очереди;</w:t>
      </w:r>
    </w:p>
    <w:p>
      <w:pPr>
        <w:numPr>
          <w:ilvl w:val="0"/>
          <w:numId w:val="1004"/>
        </w:numPr>
      </w:pPr>
      <w:r>
        <w:rPr>
          <w:rStyle w:val="VerbatimChar"/>
        </w:rPr>
        <w:t xml:space="preserve">CONT</w:t>
      </w:r>
      <w:r>
        <w:t xml:space="preserve">=2 – количество заявок в очереди на момент завершения моделирования;</w:t>
      </w:r>
    </w:p>
    <w:p>
      <w:pPr>
        <w:numPr>
          <w:ilvl w:val="0"/>
          <w:numId w:val="1004"/>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4"/>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4"/>
        </w:numPr>
      </w:pPr>
      <w:r>
        <w:rPr>
          <w:rStyle w:val="VerbatimChar"/>
        </w:rPr>
        <w:t xml:space="preserve">AVE.CONT</w:t>
      </w:r>
      <w:r>
        <w:t xml:space="preserve">=0,439 заявок от клиентов в среднем были в очереди;</w:t>
      </w:r>
    </w:p>
    <w:p>
      <w:pPr>
        <w:numPr>
          <w:ilvl w:val="0"/>
          <w:numId w:val="1004"/>
        </w:numPr>
      </w:pPr>
      <w:r>
        <w:rPr>
          <w:rStyle w:val="VerbatimChar"/>
        </w:rPr>
        <w:t xml:space="preserve">AVE.TIME</w:t>
      </w:r>
      <w:r>
        <w:t xml:space="preserve">=152,399 секунд в среднем заявки от клиентов провели в очереди (с учётом всех входов в очередь);</w:t>
      </w:r>
    </w:p>
    <w:p>
      <w:pPr>
        <w:numPr>
          <w:ilvl w:val="0"/>
          <w:numId w:val="1004"/>
        </w:numPr>
      </w:pPr>
      <w:r>
        <w:rPr>
          <w:rStyle w:val="VerbatimChar"/>
        </w:rPr>
        <w:t xml:space="preserve">AVE.(–0)</w:t>
      </w:r>
      <w:r>
        <w:t xml:space="preserve">=156,162 секунд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pStyle w:val="Compact"/>
        <w:numPr>
          <w:ilvl w:val="0"/>
          <w:numId w:val="1005"/>
        </w:numPr>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pStyle w:val="Compact"/>
        <w:numPr>
          <w:ilvl w:val="0"/>
          <w:numId w:val="1005"/>
        </w:numPr>
      </w:pPr>
      <w:r>
        <w:rPr>
          <w:rStyle w:val="VerbatimChar"/>
        </w:rPr>
        <w:t xml:space="preserve">PRI</w:t>
      </w:r>
      <w:r>
        <w:t xml:space="preserve">=1 – следующая заявка с приоритетом 1, то есть первого типа;</w:t>
      </w:r>
    </w:p>
    <w:p>
      <w:pPr>
        <w:pStyle w:val="Compact"/>
        <w:numPr>
          <w:ilvl w:val="0"/>
          <w:numId w:val="1005"/>
        </w:numPr>
      </w:pPr>
      <w:r>
        <w:rPr>
          <w:rStyle w:val="VerbatimChar"/>
        </w:rPr>
        <w:t xml:space="preserve">BDT</w:t>
      </w:r>
      <w:r>
        <w:t xml:space="preserve">=28815,063 – время назначенного события, связанного с данным транзактом;</w:t>
      </w:r>
    </w:p>
    <w:p>
      <w:pPr>
        <w:pStyle w:val="Compact"/>
        <w:numPr>
          <w:ilvl w:val="0"/>
          <w:numId w:val="1005"/>
        </w:numPr>
      </w:pPr>
      <w:r>
        <w:rPr>
          <w:rStyle w:val="VerbatimChar"/>
        </w:rPr>
        <w:t xml:space="preserve">ASSEM</w:t>
      </w:r>
      <w:r>
        <w:t xml:space="preserve">=141 – номер семейства транзактов;</w:t>
      </w:r>
    </w:p>
    <w:p>
      <w:pPr>
        <w:pStyle w:val="Compact"/>
        <w:numPr>
          <w:ilvl w:val="0"/>
          <w:numId w:val="1005"/>
        </w:numPr>
      </w:pPr>
      <w:r>
        <w:rPr>
          <w:rStyle w:val="VerbatimChar"/>
        </w:rPr>
        <w:t xml:space="preserve">CURRENT</w:t>
      </w:r>
      <w:r>
        <w:t xml:space="preserve">=5 – номер блока, в котором находится транзакт;</w:t>
      </w:r>
    </w:p>
    <w:p>
      <w:pPr>
        <w:pStyle w:val="Compact"/>
        <w:numPr>
          <w:ilvl w:val="0"/>
          <w:numId w:val="1005"/>
        </w:numPr>
      </w:pPr>
      <w:r>
        <w:rPr>
          <w:rStyle w:val="VerbatimChar"/>
        </w:rPr>
        <w:t xml:space="preserve">NEXT</w:t>
      </w:r>
      <w:r>
        <w:t xml:space="preserve">=6 – номер блока, в который должен войти транзакт.</w:t>
      </w:r>
    </w:p>
    <w:bookmarkEnd w:id="30"/>
    <w:bookmarkStart w:id="43"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w:t>
      </w:r>
      <w:r>
        <w:t xml:space="preserve"> </w:t>
      </w:r>
      <w:r>
        <w:t xml:space="preserve">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Параметры модели:</w:t>
      </w:r>
    </w:p>
    <w:p>
      <w:pPr>
        <w:numPr>
          <w:ilvl w:val="0"/>
          <w:numId w:val="1006"/>
        </w:numPr>
      </w:pPr>
      <w:r>
        <w:t xml:space="preserve">для корабля первого типа:</w:t>
      </w:r>
    </w:p>
    <w:p>
      <w:pPr>
        <w:pStyle w:val="Compact"/>
        <w:numPr>
          <w:ilvl w:val="1"/>
          <w:numId w:val="1007"/>
        </w:numPr>
      </w:pPr>
      <w:r>
        <w:t xml:space="preserve">интервал прибытия: 130 ± 30 мин;</w:t>
      </w:r>
    </w:p>
    <w:p>
      <w:pPr>
        <w:pStyle w:val="Compact"/>
        <w:numPr>
          <w:ilvl w:val="1"/>
          <w:numId w:val="1007"/>
        </w:numPr>
      </w:pPr>
      <w:r>
        <w:t xml:space="preserve">время входа в порт: 30 ± 7 мин;</w:t>
      </w:r>
    </w:p>
    <w:p>
      <w:pPr>
        <w:pStyle w:val="Compact"/>
        <w:numPr>
          <w:ilvl w:val="1"/>
          <w:numId w:val="1007"/>
        </w:numPr>
      </w:pPr>
      <w:r>
        <w:t xml:space="preserve">количество доступных причалов: 6;</w:t>
      </w:r>
    </w:p>
    <w:p>
      <w:pPr>
        <w:pStyle w:val="Compact"/>
        <w:numPr>
          <w:ilvl w:val="1"/>
          <w:numId w:val="1007"/>
        </w:numPr>
      </w:pPr>
      <w:r>
        <w:t xml:space="preserve">время погрузки/разгрузки: 12 ± 2 час;</w:t>
      </w:r>
    </w:p>
    <w:p>
      <w:pPr>
        <w:pStyle w:val="Compact"/>
        <w:numPr>
          <w:ilvl w:val="1"/>
          <w:numId w:val="1007"/>
        </w:numPr>
      </w:pPr>
      <w:r>
        <w:t xml:space="preserve">время выхода из порта: 20 ± 5 мин;</w:t>
      </w:r>
    </w:p>
    <w:p>
      <w:pPr>
        <w:numPr>
          <w:ilvl w:val="0"/>
          <w:numId w:val="1006"/>
        </w:numPr>
      </w:pPr>
      <w:r>
        <w:t xml:space="preserve">для корабля второго типа:</w:t>
      </w:r>
    </w:p>
    <w:p>
      <w:pPr>
        <w:pStyle w:val="Compact"/>
        <w:numPr>
          <w:ilvl w:val="1"/>
          <w:numId w:val="1008"/>
        </w:numPr>
      </w:pPr>
      <w:r>
        <w:t xml:space="preserve">интервал прибытия: 390 ± 60 мин;</w:t>
      </w:r>
    </w:p>
    <w:p>
      <w:pPr>
        <w:pStyle w:val="Compact"/>
        <w:numPr>
          <w:ilvl w:val="1"/>
          <w:numId w:val="1008"/>
        </w:numPr>
      </w:pPr>
      <w:r>
        <w:t xml:space="preserve">время входа в порт: 45 ± 12 мин;</w:t>
      </w:r>
    </w:p>
    <w:p>
      <w:pPr>
        <w:pStyle w:val="Compact"/>
        <w:numPr>
          <w:ilvl w:val="1"/>
          <w:numId w:val="1008"/>
        </w:numPr>
      </w:pPr>
      <w:r>
        <w:t xml:space="preserve">количество доступных причалов: 3;</w:t>
      </w:r>
    </w:p>
    <w:p>
      <w:pPr>
        <w:pStyle w:val="Compact"/>
        <w:numPr>
          <w:ilvl w:val="1"/>
          <w:numId w:val="1008"/>
        </w:numPr>
      </w:pPr>
      <w:r>
        <w:t xml:space="preserve">время погрузки/разгрузки: 18 ± 4 час;</w:t>
      </w:r>
    </w:p>
    <w:p>
      <w:pPr>
        <w:pStyle w:val="Compact"/>
        <w:numPr>
          <w:ilvl w:val="1"/>
          <w:numId w:val="1008"/>
        </w:numPr>
      </w:pPr>
      <w:r>
        <w:t xml:space="preserve">время выхода из порта: 35 ± 10 мин.</w:t>
      </w:r>
    </w:p>
    <w:p>
      <w:pPr>
        <w:pStyle w:val="Compact"/>
        <w:numPr>
          <w:ilvl w:val="1"/>
          <w:numId w:val="1008"/>
        </w:numPr>
      </w:pPr>
      <w:r>
        <w:t xml:space="preserve">время моделирования: 365 дней по 8 часов.</w:t>
      </w:r>
    </w:p>
    <w:p>
      <w:pPr>
        <w:pStyle w:val="FirstParagraph"/>
      </w:pPr>
      <w:r>
        <w:t xml:space="preserve">Код программы будет следующим(рис. fig. 3).</w:t>
      </w:r>
    </w:p>
    <w:bookmarkStart w:id="34" w:name="fig:003"/>
    <w:p>
      <w:pPr>
        <w:pStyle w:val="CaptionedFigure"/>
      </w:pPr>
      <w:r>
        <w:drawing>
          <wp:inline>
            <wp:extent cx="3733800" cy="4090994"/>
            <wp:effectExtent b="0" l="0" r="0" t="0"/>
            <wp:docPr descr="Рис. 3: Модель обслуживания в порту судов двух типов"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4090994"/>
                    </a:xfrm>
                    <a:prstGeom prst="rect">
                      <a:avLst/>
                    </a:prstGeom>
                    <a:noFill/>
                    <a:ln w="9525">
                      <a:noFill/>
                      <a:headEnd/>
                      <a:tailEnd/>
                    </a:ln>
                  </pic:spPr>
                </pic:pic>
              </a:graphicData>
            </a:graphic>
          </wp:inline>
        </w:drawing>
      </w:r>
    </w:p>
    <w:p>
      <w:pPr>
        <w:pStyle w:val="ImageCaption"/>
      </w:pPr>
      <w:r>
        <w:t xml:space="preserve">Рис. 3: Модель обслуживания в порту судов двух типов</w:t>
      </w:r>
    </w:p>
    <w:bookmarkEnd w:id="34"/>
    <w:p>
      <w:pPr>
        <w:pStyle w:val="BodyText"/>
      </w:pPr>
      <w:r>
        <w:t xml:space="preserve">Получим отчет симуляции (рис. fig. 4, fig. 5).</w:t>
      </w:r>
    </w:p>
    <w:bookmarkStart w:id="38" w:name="fig:004"/>
    <w:p>
      <w:pPr>
        <w:pStyle w:val="CaptionedFigure"/>
      </w:pPr>
      <w:r>
        <w:drawing>
          <wp:inline>
            <wp:extent cx="3733800" cy="3620797"/>
            <wp:effectExtent b="0" l="0" r="0" t="0"/>
            <wp:docPr descr="Рис. 4: Отчёт по модели обслуживания в порту судов двух типов"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3733800" cy="3620797"/>
                    </a:xfrm>
                    <a:prstGeom prst="rect">
                      <a:avLst/>
                    </a:prstGeom>
                    <a:noFill/>
                    <a:ln w="9525">
                      <a:noFill/>
                      <a:headEnd/>
                      <a:tailEnd/>
                    </a:ln>
                  </pic:spPr>
                </pic:pic>
              </a:graphicData>
            </a:graphic>
          </wp:inline>
        </w:drawing>
      </w:r>
    </w:p>
    <w:p>
      <w:pPr>
        <w:pStyle w:val="ImageCaption"/>
      </w:pPr>
      <w:r>
        <w:t xml:space="preserve">Рис. 4: Отчёт по модели обслуживания в порту судов двух типов</w:t>
      </w:r>
    </w:p>
    <w:bookmarkEnd w:id="38"/>
    <w:bookmarkStart w:id="42" w:name="fig:005"/>
    <w:p>
      <w:pPr>
        <w:pStyle w:val="CaptionedFigure"/>
      </w:pPr>
      <w:r>
        <w:drawing>
          <wp:inline>
            <wp:extent cx="3733800" cy="2358761"/>
            <wp:effectExtent b="0" l="0" r="0" t="0"/>
            <wp:docPr descr="Рис. 5: Отчёт по модели обслуживания в порту судов двух типов"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733800" cy="2358761"/>
                    </a:xfrm>
                    <a:prstGeom prst="rect">
                      <a:avLst/>
                    </a:prstGeom>
                    <a:noFill/>
                    <a:ln w="9525">
                      <a:noFill/>
                      <a:headEnd/>
                      <a:tailEnd/>
                    </a:ln>
                  </pic:spPr>
                </pic:pic>
              </a:graphicData>
            </a:graphic>
          </wp:inline>
        </w:drawing>
      </w:r>
    </w:p>
    <w:p>
      <w:pPr>
        <w:pStyle w:val="ImageCaption"/>
      </w:pPr>
      <w:r>
        <w:t xml:space="preserve">Рис. 5: Отчёт по модели обслуживания в порту судов двух типов</w:t>
      </w:r>
    </w:p>
    <w:bookmarkEnd w:id="42"/>
    <w:p>
      <w:pPr>
        <w:pStyle w:val="BodyText"/>
      </w:pPr>
      <w:r>
        <w:t xml:space="preserve">Проанализируем отчёт:</w:t>
      </w:r>
    </w:p>
    <w:p>
      <w:pPr>
        <w:pStyle w:val="Compact"/>
        <w:numPr>
          <w:ilvl w:val="0"/>
          <w:numId w:val="1009"/>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9"/>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=175200.000;</w:t>
      </w:r>
    </w:p>
    <w:p>
      <w:pPr>
        <w:pStyle w:val="Compact"/>
        <w:numPr>
          <w:ilvl w:val="0"/>
          <w:numId w:val="1009"/>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pStyle w:val="Compact"/>
        <w:numPr>
          <w:ilvl w:val="0"/>
          <w:numId w:val="1009"/>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pStyle w:val="Compact"/>
        <w:numPr>
          <w:ilvl w:val="0"/>
          <w:numId w:val="1009"/>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buks</w:t>
      </w:r>
      <w:r>
        <w:t xml:space="preserve">,</w:t>
      </w:r>
      <w:r>
        <w:t xml:space="preserve"> </w:t>
      </w:r>
      <w:r>
        <w:rPr>
          <w:rStyle w:val="VerbatimChar"/>
        </w:rPr>
        <w:t xml:space="preserve">prch1</w:t>
      </w:r>
      <w:r>
        <w:t xml:space="preserve">,</w:t>
      </w:r>
      <w:r>
        <w:t xml:space="preserve"> </w:t>
      </w:r>
      <w:r>
        <w:rPr>
          <w:rStyle w:val="VerbatimChar"/>
        </w:rPr>
        <w:t xml:space="preserve">prch2</w:t>
      </w:r>
      <w:r>
        <w:t xml:space="preserve">,</w:t>
      </w:r>
      <w:r>
        <w:t xml:space="preserve"> </w:t>
      </w:r>
      <w:r>
        <w:rPr>
          <w:rStyle w:val="VerbatimChar"/>
        </w:rPr>
        <w:t xml:space="preserve">type1</w:t>
      </w:r>
      <w:r>
        <w:t xml:space="preserve">,</w:t>
      </w:r>
      <w:r>
        <w:t xml:space="preserve"> </w:t>
      </w:r>
      <w:r>
        <w:rPr>
          <w:rStyle w:val="VerbatimChar"/>
        </w:rPr>
        <w:t xml:space="preserve">type2</w:t>
      </w:r>
      <w:r>
        <w:t xml:space="preserve">.</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10"/>
        </w:numPr>
      </w:pPr>
      <w:r>
        <w:rPr>
          <w:rStyle w:val="VerbatimChar"/>
        </w:rPr>
        <w:t xml:space="preserve">QUEUE</w:t>
      </w:r>
      <w:r>
        <w:t xml:space="preserve">=TYPE1 – имя объекта типа «очередь» для первого типа судов;</w:t>
      </w:r>
    </w:p>
    <w:p>
      <w:pPr>
        <w:numPr>
          <w:ilvl w:val="0"/>
          <w:numId w:val="1010"/>
        </w:numPr>
      </w:pPr>
      <w:r>
        <w:rPr>
          <w:rStyle w:val="VerbatimChar"/>
        </w:rPr>
        <w:t xml:space="preserve">MAX</w:t>
      </w:r>
      <w:r>
        <w:t xml:space="preserve">=4 – максимальное число ожидающих заявок от клиента в очереди;</w:t>
      </w:r>
    </w:p>
    <w:p>
      <w:pPr>
        <w:numPr>
          <w:ilvl w:val="0"/>
          <w:numId w:val="1010"/>
        </w:numPr>
      </w:pPr>
      <w:r>
        <w:rPr>
          <w:rStyle w:val="VerbatimChar"/>
        </w:rPr>
        <w:t xml:space="preserve">CONT</w:t>
      </w:r>
      <w:r>
        <w:t xml:space="preserve">=0 – на момент завершения моделирования очередь была пуста;</w:t>
      </w:r>
    </w:p>
    <w:p>
      <w:pPr>
        <w:numPr>
          <w:ilvl w:val="0"/>
          <w:numId w:val="1010"/>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10"/>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10"/>
        </w:numPr>
      </w:pPr>
      <w:r>
        <w:rPr>
          <w:rStyle w:val="VerbatimChar"/>
        </w:rPr>
        <w:t xml:space="preserve">AVE.CONT</w:t>
      </w:r>
      <w:r>
        <w:t xml:space="preserve">=0,750 заявок от клиентов в среднем были в очереди;</w:t>
      </w:r>
    </w:p>
    <w:p>
      <w:pPr>
        <w:numPr>
          <w:ilvl w:val="0"/>
          <w:numId w:val="1010"/>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10"/>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10"/>
        </w:numPr>
      </w:pPr>
      <w:r>
        <w:rPr>
          <w:rStyle w:val="VerbatimChar"/>
        </w:rPr>
        <w:t xml:space="preserve">QUEUE</w:t>
      </w:r>
      <w:r>
        <w:t xml:space="preserve">=TYPE2 – имя объекта типа «очередь» для второго типа судов;</w:t>
      </w:r>
    </w:p>
    <w:p>
      <w:pPr>
        <w:numPr>
          <w:ilvl w:val="0"/>
          <w:numId w:val="1010"/>
        </w:numPr>
      </w:pPr>
      <w:r>
        <w:rPr>
          <w:rStyle w:val="VerbatimChar"/>
        </w:rPr>
        <w:t xml:space="preserve">MAX</w:t>
      </w:r>
      <w:r>
        <w:t xml:space="preserve">=4 – максимальное число ожидающих заявок от клиента в очереди;</w:t>
      </w:r>
    </w:p>
    <w:p>
      <w:pPr>
        <w:numPr>
          <w:ilvl w:val="0"/>
          <w:numId w:val="1010"/>
        </w:numPr>
      </w:pPr>
      <w:r>
        <w:rPr>
          <w:rStyle w:val="VerbatimChar"/>
        </w:rPr>
        <w:t xml:space="preserve">CONT</w:t>
      </w:r>
      <w:r>
        <w:t xml:space="preserve">=2 – количество заявок в очереди на момент завершения моделирования;</w:t>
      </w:r>
    </w:p>
    <w:p>
      <w:pPr>
        <w:numPr>
          <w:ilvl w:val="0"/>
          <w:numId w:val="1010"/>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10"/>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10"/>
        </w:numPr>
      </w:pPr>
      <w:r>
        <w:rPr>
          <w:rStyle w:val="VerbatimChar"/>
        </w:rPr>
        <w:t xml:space="preserve">AVE.CONT</w:t>
      </w:r>
      <w:r>
        <w:t xml:space="preserve">=0,897 заявок от клиентов в среднем были в очереди;</w:t>
      </w:r>
    </w:p>
    <w:p>
      <w:pPr>
        <w:numPr>
          <w:ilvl w:val="0"/>
          <w:numId w:val="1010"/>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10"/>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многоканальных устройствах</w:t>
      </w:r>
      <w:r>
        <w:t xml:space="preserve"> </w:t>
      </w:r>
      <w:r>
        <w:rPr>
          <w:rStyle w:val="VerbatimChar"/>
        </w:rPr>
        <w:t xml:space="preserve">STORAGE</w:t>
      </w:r>
      <w:r>
        <w:t xml:space="preserve">. У нас указано, что первого типа причалов 6, второго – три, а буксиров 2.</w:t>
      </w:r>
    </w:p>
    <w:p>
      <w:pPr>
        <w:pStyle w:val="BodyText"/>
      </w:pPr>
      <w:r>
        <w:t xml:space="preserve">Видим, что к первому типу причалов</w:t>
      </w:r>
      <w:r>
        <w:t xml:space="preserve"> </w:t>
      </w:r>
      <w:r>
        <w:rPr>
          <w:rStyle w:val="VerbatimChar"/>
        </w:rPr>
        <w:t xml:space="preserve">PRCH1</w:t>
      </w:r>
      <w:r>
        <w:t xml:space="preserve"> </w:t>
      </w:r>
      <w:r>
        <w:t xml:space="preserve">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w:t>
      </w:r>
      <w:r>
        <w:t xml:space="preserve"> </w:t>
      </w:r>
      <w:r>
        <w:rPr>
          <w:rStyle w:val="VerbatimChar"/>
        </w:rPr>
        <w:t xml:space="preserve">PRCH1</w:t>
      </w:r>
      <w:r>
        <w:t xml:space="preserve"> </w:t>
      </w:r>
      <w:r>
        <w:t xml:space="preserve">на обработку попало всего 444 судов(второго типа). Полезность работы причалов составила 0,983. При этом среднее время занятости причалов составило 2,950 мин.</w:t>
      </w:r>
    </w:p>
    <w:p>
      <w:pPr>
        <w:pStyle w:val="BodyText"/>
      </w:pPr>
      <w:r>
        <w:t xml:space="preserve">Есть два буксира</w:t>
      </w:r>
      <w:r>
        <w:t xml:space="preserve"> </w:t>
      </w:r>
      <w:r>
        <w:rPr>
          <w:rStyle w:val="VerbatimChar"/>
        </w:rPr>
        <w:t xml:space="preserve">buks</w:t>
      </w:r>
      <w:r>
        <w:t xml:space="preserve">. К ним поступили судна 4454 раз. Полезность работы – 0,393, среднее время занятости – 0,786.</w:t>
      </w:r>
    </w:p>
    <w:p>
      <w:pPr>
        <w:pStyle w:val="BodyText"/>
      </w:pPr>
      <w:r>
        <w:t xml:space="preserve">Далее идёт информация о будущих событиях.</w:t>
      </w:r>
    </w:p>
    <w:bookmarkEnd w:id="43"/>
    <w:bookmarkEnd w:id="44"/>
    <w:bookmarkStart w:id="45" w:name="выводы"/>
    <w:p>
      <w:pPr>
        <w:pStyle w:val="Heading1"/>
      </w:pPr>
      <w:r>
        <w:rPr>
          <w:rStyle w:val="SectionNumber"/>
        </w:rPr>
        <w:t xml:space="preserve">4</w:t>
      </w:r>
      <w:r>
        <w:tab/>
      </w:r>
      <w:r>
        <w:t xml:space="preserve">Выводы</w:t>
      </w:r>
    </w:p>
    <w:p>
      <w:pPr>
        <w:pStyle w:val="FirstParagraph"/>
      </w:pPr>
      <w:r>
        <w:t xml:space="preserve">В ходе данной лабораторной работы было выполнено моделирование обслуживания с приоритетами и провела анализ результатов</w:t>
      </w:r>
    </w:p>
    <w:bookmarkEnd w:id="45"/>
    <w:bookmarkStart w:id="46" w:name="список-литературы"/>
    <w:p>
      <w:pPr>
        <w:pStyle w:val="Heading1"/>
      </w:pPr>
      <w:r>
        <w:rPr>
          <w:rStyle w:val="SectionNumber"/>
        </w:rPr>
        <w:t xml:space="preserve">5</w:t>
      </w:r>
      <w:r>
        <w:tab/>
      </w:r>
      <w:r>
        <w:t xml:space="preserve">Список литературы</w:t>
      </w:r>
    </w:p>
    <w:p>
      <w:pPr>
        <w:pStyle w:val="FirstParagraph"/>
      </w:pPr>
      <w:r>
        <w:t xml:space="preserve">Королькова А.В., Кулябов Д.С. Моделирование информационных процессов</w:t>
      </w:r>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Лихтенштейн Алина Алексеевна</dc:creator>
  <dc:language>ru-RU</dc:language>
  <cp:keywords/>
  <dcterms:created xsi:type="dcterms:W3CDTF">2025-05-09T12:57:51Z</dcterms:created>
  <dcterms:modified xsi:type="dcterms:W3CDTF">2025-05-09T12:57:51Z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False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PT Serif</vt:lpwstr>
  </property>
  <property fmtid="{D5CDD505-2E9C-101B-9397-08002B2CF9AE}" pid="61" name="mainfontoptions">
    <vt:lpwstr>Ligatures=TeX</vt:lpwstr>
  </property>
  <property fmtid="{D5CDD505-2E9C-101B-9397-08002B2CF9AE}" pid="62" name="monofont">
    <vt:lpwstr>PT Mono</vt:lpwstr>
  </property>
  <property fmtid="{D5CDD505-2E9C-101B-9397-08002B2CF9AE}" pid="63" name="monofontoptions">
    <vt:lpwstr>Scale=MatchLowercase,Scale=0.9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PT Serif</vt:lpwstr>
  </property>
  <property fmtid="{D5CDD505-2E9C-101B-9397-08002B2CF9AE}" pid="74" name="romanfontoptions">
    <vt:lpwstr>Ligatures=TeX</vt:lpwstr>
  </property>
  <property fmtid="{D5CDD505-2E9C-101B-9397-08002B2CF9AE}" pid="75" name="sansfont">
    <vt:lpwstr>PT Sans</vt:lpwstr>
  </property>
  <property fmtid="{D5CDD505-2E9C-101B-9397-08002B2CF9AE}" pid="76" name="sansfontoptions">
    <vt:lpwstr>Ligatures=TeX,Scale=MatchLowercase</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Модели обслуживания с приоритетами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