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Google Antigravity (Gemini 2.5 Pro)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Implementar o ciclo 01 da Spec 001 (Fundação técnica do FluxID), abrangendo o setup do projeto React 19 + TypeScript 7 + Vite 8 + Tailwind 4, resolução determinística de conectividade Supabase (local, lan, cloud), estabilidade de sessão, isolamento de credenciais e validação PWA/acessibilidade.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do fluxo `/speckit-implement` sobre a especificação técnica 001 (`specs/001-fundacao-tecnica`), cobrindo as histórias de usuário US1 (MVP técnico do shell vazio), US2 (resolução de conectividade sequencial), US3 (classificação de falhas e estabilidade da sessão) e US4 (adaptação multi-dispositivo PWA com WCAG 2.2 AA).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Implementação completa do shell web em TypeScript/React sem regras de negócio, fábrica de cliente Supabase singleton por endpoint ativo, resolvedor sequencial (`local → lan → cloud`) com probe leve de saúde em `/auth/v1/health`, classificador arquitetural de falhas impedindo fallback em erros 4xx/RLS, testes de contrato/unidade/integração/E2E e configuração PWA com isolamento total do cache em relação ao Supabase. Código e testes disponíveis para revisão no Pull Request: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equipe acompanhou a execução em regime TDD rigoroso. A arquitetura de conectividade implementada respeita todas as regras da constituição do FluxID: credenciais secretas nunca são expostas ao cliente, nenhuma chave secreta utiliza prefixo `VITE_`, e erros 401/403/RLS bloqueiam transições em vez de acionar fallbacks inseguros. A compatibilidade de compilação do TypeScript 7 foi tratada de forma limpa.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dos gates automatizados: `tsc --noEmit` (0 erros), `eslint .` (0 avisos), 69 testes Vitest aprovados (93.39% de cobertura de linhas e 95.55% de funções), 24 testes Playwright E2E aprovados em Desktop, Tablet e Mobile 360px sem violações axe-core críticas ou graves, e `npm run build` gerando bundle de produção em 840 ms. Resolução integral de todos os bloqueadores apontados na revisão da PR #2.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utilizado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Documentação oficial do Supabase CLI e Supabase JS v2, Diretrizes WCAG 2.2 AA do W3C e documentação do Vite PWA Workbox.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RIA-014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28/09/2026, 16:25:00 -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 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