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pgSz w:w="12240" w:h="15840"/>
      <w:pgMar w:top="1440" w:right="1800" w:bottom="1440" w:left="1800" w:header="720" w:footer="720" w:gutter="0"/>
      <w:cols w:space="720"/>
      <w:docGrid w:linePitch="360"/>
    </w:sectPr>
    <w:p w14:paraId="06FB3DFA" w14:textId="77777777" w:rsidR="00DD74F3" w:rsidRDefault="000400EA">
      <w:pPr>
        <w:pStyle w:val="Title"/>
        <w:spacing w:after="100"/>
        <w:jc w:val="left"/>
        <w:pBdr>
          <w:top w:val="nil"/>
          <w:left w:val="nil"/>
          <w:bottom w:val="nil"/>
          <w:right w:val="nil"/>
          <w:between w:val="nil"/>
          <w:bar w:val="nil"/>
        </w:pBdr>
      </w:pPr>
      <w:r>
        <w:rPr>
          <w:rFonts w:ascii="Aptos" w:hAnsi="Aptos"/>
          <w:b/>
          <w:color w:val="000000"/>
          <w:sz w:val="36"/>
        </w:rPr>
        <w:t>Registro do uso de inteligência artificial e validação humana</w:t>
      </w:r>
    </w:p>
    <w:tbl>
      <w:tblPr>
        <w:tblW w:w="5000" w:type="pct"/>
        <w:jc w:val="center"/>
        <w:tblLook w:val="04A0" w:firstRow="1" w:lastRow="0" w:firstColumn="1" w:lastColumn="0" w:noHBand="0" w:noVBand="1"/>
      </w:tblPr>
      <w:tblGrid>
        <w:gridCol w:w="3444"/>
        <w:gridCol w:w="3444"/>
        <w:gridCol w:w="3444"/>
      </w:tblGrid>
      <w:tr w:rsidR="00DD74F3" w14:paraId="3F9791F2" w14:textId="77777777">
        <w:trPr>
          <w:jc w:val="center"/>
        </w:trPr>
        <w:tc>
          <w:tcPr>
            <w:tcW w:w="3364" w:type="dxa"/>
            <w:tcBorders>
              <w:top w:val="single" w:sz="4" w:space="0" w:color="1A4B9F"/>
              <w:left w:val="single" w:sz="4" w:space="0" w:color="1A4B9F"/>
              <w:bottom w:val="single" w:sz="4" w:space="0" w:color="1A4B9F"/>
              <w:right w:val="single" w:sz="4" w:space="0" w:color="1A4B9F"/>
            </w:tcBorders>
            <w:shd w:val="clear" w:color="auto" w:fill="1A4B9F"/>
            <w:tcMar>
              <w:top w:w="120" w:type="dxa"/>
              <w:left w:w="120" w:type="dxa"/>
              <w:bottom w:w="120" w:type="dxa"/>
              <w:right w:w="120" w:type="dxa"/>
            </w:tcMar>
          </w:tcPr>
          <w:p w14:paraId="6F854F8C" w14:textId="77777777" w:rsidR="00DD74F3" w:rsidRDefault="000400EA">
            <w:r>
              <w:rPr>
                <w:b/>
                <w:color w:val="FFFFFF"/>
                <w:sz w:val="13"/>
              </w:rPr>
              <w:t>FERRAMENTA</w:t>
            </w:r>
            <w:r>
              <w:rPr>
                <w:b/>
                <w:color w:val="FFFFFF"/>
                <w:sz w:val="13"/>
              </w:rPr>
              <w:br/>
            </w:r>
            <w:r>
              <w:rPr>
                <w:color w:val="FFFFFF"/>
                <w:sz w:val="16"/>
              </w:rPr>
              <w:t>Excel ou Word</w:t>
            </w:r>
          </w:p>
        </w:tc>
        <w:tc>
          <w:tcPr>
            <w:tcW w:w="3364" w:type="dxa"/>
            <w:tcBorders>
              <w:top w:val="single" w:sz="4" w:space="0" w:color="EF5E31"/>
              <w:left w:val="single" w:sz="4" w:space="0" w:color="EF5E31"/>
              <w:bottom w:val="single" w:sz="4" w:space="0" w:color="EF5E31"/>
              <w:right w:val="single" w:sz="4" w:space="0" w:color="EF5E31"/>
            </w:tcBorders>
            <w:shd w:val="clear" w:color="auto" w:fill="EF5E31"/>
            <w:tcMar>
              <w:top w:w="120" w:type="dxa"/>
              <w:left w:w="120" w:type="dxa"/>
              <w:bottom w:w="120" w:type="dxa"/>
              <w:right w:w="120" w:type="dxa"/>
            </w:tcMar>
          </w:tcPr>
          <w:p w14:paraId="6849A2BF" w14:textId="77777777" w:rsidR="00DD74F3" w:rsidRDefault="000400EA">
            <w:r>
              <w:rPr>
                <w:b/>
                <w:color w:val="FFFFFF"/>
                <w:sz w:val="13"/>
              </w:rPr>
              <w:t>FINALIDADE</w:t>
            </w:r>
            <w:r>
              <w:rPr>
                <w:b/>
                <w:color w:val="FFFFFF"/>
                <w:sz w:val="13"/>
              </w:rPr>
              <w:br/>
            </w:r>
            <w:r>
              <w:rPr>
                <w:color w:val="FFFFFF"/>
                <w:sz w:val="16"/>
              </w:rPr>
              <w:t>Rastrear uso de IA, prompts, respostas e decisões humanas</w:t>
            </w:r>
          </w:p>
        </w:tc>
        <w:tc>
          <w:tcPr>
            <w:tcW w:w="3364" w:type="dxa"/>
            <w:tcBorders>
              <w:top w:val="single" w:sz="4" w:space="0" w:color="164194"/>
              <w:left w:val="single" w:sz="4" w:space="0" w:color="164194"/>
              <w:bottom w:val="single" w:sz="4" w:space="0" w:color="164194"/>
              <w:right w:val="single" w:sz="4" w:space="0" w:color="164194"/>
            </w:tcBorders>
            <w:shd w:val="clear" w:color="auto" w:fill="164194"/>
            <w:tcMar>
              <w:top w:w="120" w:type="dxa"/>
              <w:left w:w="120" w:type="dxa"/>
              <w:bottom w:w="120" w:type="dxa"/>
              <w:right w:w="120" w:type="dxa"/>
            </w:tcMar>
          </w:tcPr>
          <w:p w14:paraId="6BF56103" w14:textId="77777777" w:rsidR="00DD74F3" w:rsidRDefault="000400EA">
            <w:r>
              <w:rPr>
                <w:b/>
                <w:color w:val="FFFFFF"/>
                <w:sz w:val="13"/>
              </w:rPr>
              <w:t>QUEM PREENCHE</w:t>
            </w:r>
            <w:r>
              <w:rPr>
                <w:b/>
                <w:color w:val="FFFFFF"/>
                <w:sz w:val="13"/>
              </w:rPr>
              <w:br/>
            </w:r>
            <w:r>
              <w:rPr>
                <w:color w:val="FFFFFF"/>
                <w:sz w:val="16"/>
              </w:rPr>
              <w:t>Equipe</w:t>
            </w:r>
          </w:p>
        </w:tc>
      </w:tr>
    </w:tbl>
    <w:p w14:paraId="34C6D372" w14:textId="77777777" w:rsidR="00DD74F3" w:rsidRDefault="00DD74F3">
      <w:pPr>
        <w:spacing w:after="240"/>
      </w:pPr>
      <w:r>
        <w:rPr>
          <w:rFonts w:ascii="Aptos" w:hAnsi="Aptos"/>
          <w:b/>
          <w:color w:val="214D9A"/>
          <w:sz w:val="21"/>
        </w:rPr>
        <w:t>FluxID  |  RIA-024 | Clientes, unidades, geocercas, veículos e motoristas</w:t>
      </w:r>
    </w:p>
    <w:p w14:paraId="4AAA90C8" w14:textId="77777777" w:rsidR="00DD74F3" w:rsidRDefault="000400EA">
      <w:pPr>
        <w:spacing w:after="200"/>
      </w:pPr>
      <w:r>
        <w:rPr>
          <w:rFonts w:ascii="Aptos" w:hAnsi="Aptos"/>
          <w:b w:val="0"/>
          <w:color w:val="000000"/>
          <w:sz w:val="22"/>
        </w:rPr>
        <w:t>Este documento registra a implementação e validação do ciclo 01 da Spec 007 (Clientes, unidades, geocercas, veículos e motoristas) com inteligência artificial.</w:t>
      </w:r>
    </w:p>
    <w:tbl>
      <w:tblPr>
        <w:tblW w:w="5000" w:type="pct"/>
        <w:jc w:val="center"/>
        <w:tblLook w:val="04A0" w:firstRow="1" w:lastRow="0" w:firstColumn="1" w:lastColumn="0" w:noHBand="0" w:noVBand="1"/>
      </w:tblPr>
      <w:tblGrid>
        <w:gridCol w:w="5146"/>
        <w:gridCol w:w="5146"/>
      </w:tblGrid>
      <w:tr w:rsidR="00DD74F3" w14:paraId="03B51412" w14:textId="77777777">
        <w:trPr>
          <w:jc w:val="center"/>
        </w:trPr>
        <w:tc>
          <w:tcPr>
            <w:tcW w:w="5046" w:type="dxa"/>
            <w:tcBorders>
              <w:top w:val="single" w:sz="4" w:space="0" w:color="FFFFFF"/>
              <w:left w:val="single" w:sz="4" w:space="0" w:color="FFFFFF"/>
              <w:bottom w:val="single" w:sz="4" w:space="0" w:color="FFFFFF"/>
              <w:right w:val="single" w:sz="4" w:space="0" w:color="FFFFFF"/>
            </w:tcBorders>
            <w:shd w:val="clear" w:color="auto" w:fill="EF5E31"/>
            <w:tcMar>
              <w:top w:w="90" w:type="dxa"/>
              <w:left w:w="100" w:type="dxa"/>
              <w:bottom w:w="90" w:type="dxa"/>
              <w:right w:w="100" w:type="dxa"/>
            </w:tcMar>
            <w:vAlign w:val="center"/>
          </w:tcPr>
          <w:p w14:paraId="0C8136BB" w14:textId="77777777" w:rsidR="00DD74F3" w:rsidRDefault="00DD74F3"/>
        </w:tc>
        <w:tc>
          <w:tcPr>
            <w:tcW w:w="5046" w:type="dxa"/>
            <w:tcBorders>
              <w:top w:val="single" w:sz="4" w:space="0" w:color="FFFFFF"/>
              <w:left w:val="single" w:sz="4" w:space="0" w:color="FFFFFF"/>
              <w:bottom w:val="single" w:sz="4" w:space="0" w:color="FFFFFF"/>
              <w:right w:val="single" w:sz="4" w:space="0" w:color="FFFFFF"/>
            </w:tcBorders>
            <w:shd w:val="clear" w:color="auto" w:fill="FFF5F0"/>
            <w:tcMar>
              <w:top w:w="90" w:type="dxa"/>
              <w:left w:w="100" w:type="dxa"/>
              <w:bottom w:w="90" w:type="dxa"/>
              <w:right w:w="100" w:type="dxa"/>
            </w:tcMar>
            <w:vAlign w:val="center"/>
          </w:tcPr>
          <w:p w14:paraId="541D50E4" w14:textId="77777777" w:rsidR="00DD74F3" w:rsidRDefault="000400EA">
            <w:pPr>
              <w:spacing w:after="40"/>
            </w:pPr>
            <w:r>
              <w:rPr>
                <w:b/>
                <w:color w:val="EF5E31"/>
                <w:sz w:val="17"/>
              </w:rPr>
              <w:t xml:space="preserve">PONTO DE ATENÇÃO  </w:t>
            </w:r>
            <w:r>
              <w:rPr>
                <w:sz w:val="17"/>
              </w:rPr>
              <w:t>O registro deve demonstrar uso responsável: a IA apoia a equipe, mas a responsabilidade final é humana.</w:t>
            </w:r>
          </w:p>
        </w:tc>
      </w:tr>
    </w:tbl>
    <w:p w14:paraId="54CFB6D4" w14:textId="77777777" w:rsidR="00DD74F3" w:rsidRDefault="00DD74F3"/>
    <w:p w14:paraId="3FA5B703" w14:textId="77777777" w:rsidR="00DD74F3" w:rsidRDefault="000400EA">
      <w:pPr>
        <w:pStyle w:val="Ttulo2"/>
      </w:pPr>
      <w:r>
        <w:rPr>
          <w:rFonts w:ascii="Aptos" w:hAnsi="Aptos"/>
          <w:b/>
          <w:color w:val="000000"/>
          <w:sz w:val="24"/>
        </w:rPr>
        <w:t>Registro da interação</w:t>
      </w:r>
    </w:p>
    <w:tbl>
      <w:tblPr>
        <w:tblW w:w="5000" w:type="pct"/>
        <w:jc w:val="center"/>
        <w:tblLook w:val="04A0" w:firstRow="1" w:lastRow="0" w:firstColumn="1" w:lastColumn="0" w:noHBand="0" w:noVBand="1"/>
      </w:tblPr>
      <w:tblGrid>
        <w:gridCol w:w="5146"/>
        <w:gridCol w:w="5146"/>
      </w:tblGrid>
      <w:tr w:rsidR="00DD74F3" w14:paraId="7B35940F" w14:textId="77777777">
        <w:trPr>
          <w:jc w:val="center"/>
          <w:tblHeader w:val="true"/>
        </w:trPr>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536AB951" w14:textId="77777777" w:rsidR="00DD74F3" w:rsidRDefault="000400EA">
            <w:r>
              <w:rPr>
                <w:b/>
                <w:color w:val="FFFFFF"/>
              </w:rPr>
              <w:t>Campo</w:t>
            </w:r>
          </w:p>
        </w:tc>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4054405A" w14:textId="77777777" w:rsidR="00DD74F3" w:rsidRDefault="000400EA">
            <w:r>
              <w:rPr>
                <w:b/>
                <w:color w:val="FFFFFF"/>
              </w:rPr>
              <w:t>Preenchimento</w:t>
            </w:r>
          </w:p>
        </w:tc>
      </w:tr>
      <w:tr w:rsidR="00DD74F3" w14:paraId="2DEBBD7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Ferramenta de IA utilizada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Claude Code (Claude Sonnet 5.5), no VS Code</w:t>
            </w:r>
          </w:p>
        </w:tc>
      </w:tr>
      <w:tr w:rsidR="00DD74F3" w14:paraId="487F1DE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Objetivo do uso</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Implementar a Spec 007 (Fase 3): cadastro e consulta de clientes, contatos, unidades (endereço pelo CEP e coordenadas pelo endereço, com confirmação), geocercas (círculo e polígono, com consulta espacial), veículos e motoristas, com documentos protegidos, inativação em cascata, histórico imutável, anonimização irreversível com segundo fator, formulários em modal e mapas (formulário, detalhe da unidade e Visão geral).</w:t>
            </w:r>
          </w:p>
        </w:tc>
      </w:tr>
      <w:tr w:rsidR="00DD74F3" w14:paraId="34077ECE"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Prompt utilizado</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Execução do ciclo da Spec 007 pelo fluxo Spec Kit (implementação por tarefas com TDD, análise e fechamento), seguida de pedidos feitos durante o ciclo: cadastros e edições em modal para facilitar o uso, coordenadas pelo endereço com confirmação e mapas com OpenStreetMap, e o ajuste dos documentos da spec a cada decisão.</w:t>
            </w:r>
          </w:p>
        </w:tc>
      </w:tr>
      <w:tr w:rsidR="00DD74F3" w14:paraId="084F7CDE"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Resposta gerada pela IA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A IA implementou 13 migrations (PostGIS, tabelas com RLS, permissões, RPCs de cadastro, consulta, geocerca, veículo, motorista, inativação, histórico, anonimização, geocodificação e pontos das unidades), as Edge Functions query-registry, manage-registry, lookup-postal-code e geocode-address, o serviço e as telas das cinco áreas (lista, cadastro, edição e detalhe), os formulários em modal com navegação interna, os mapas em Leaflet carregados sob demanda, os testes (pgTAP, unidade, contrato, ao vivo e E2E nos três projetos), as capturas visuais no Linux e a documentação da spec (spec, plano, tarefas, contratos, quickstart, validation.md, README e PRD). Depois, a pedido da equipe, ajustou a geocodificação para o uso controlado do Nominatim no protótipo, como integração temporária e exclusiva dele: configuração de servidor (GEOCODING_*), consulta só no clique em "Buscar coordenadas" depois de aviso e confirmação explícita, bloqueio de pessoa física, envio apenas de logradouro, número, cidade, estado, CEP e país, cache por organização com retenção de 30 dias, limite global de 1 requisição por segundo, registros sem endereço nem URL, provedor trocável por configuração e correção do ponto no mapa antes de salvar (documentação em docs/geocodificacao-prototipo.md). Link para validação da equipe: https://github.com/aalissonalmeidaq/fluxid_integra2026/pull/22</w:t>
            </w:r>
          </w:p>
        </w:tc>
      </w:tr>
      <w:tr w:rsidR="00DD74F3" w14:paraId="0E8912CF"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Análise crítica da equipe</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Resultados conferidos por lint e tipagem sem erros, 2850 testes de unidade e contrato, 1607 testes pgTAP (com dois tenants em toda política RLS), 108 testes ao vivo, E2E nos três projetos (1127 aprovados e 31 ignorados, com falhas de seletor e de mapa corrigidas e repetidas), 177 capturas visuais reproduzidas no Linux e pacote de entrada de 574,05 kB (limite 593,95 kB). Medições em 4G com o volume de referência: p95 de 728 a 737 ms nas quatro listas (limite 2 s). Durante a rodada final apareceram e foram corrigidos: permissões e menu esperados pelo teste ao vivo de navegação, controles do Leaflet fora das escalas de tokens, requisição aos blocos do OpenStreetMap barrada pelo teste de domínios externos, captura instável do diálogo de anonimização e um teste de vínculo de motorista com condição de corrida. Detalhes em specs/007-clientes-geocercas-frota/validation.md.</w:t>
            </w:r>
          </w:p>
        </w:tc>
      </w:tr>
      <w:tr w:rsidR="00DD74F3" w14:paraId="50B50E2C"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Validação humana realizada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Natã Baracho validou as telas novas com os perfis de administrador do Tenant A e de administrador do Tenant B, em notebook (Windows 11, Chrome) e em celular Android, percorrendo a criação de cliente, de motorista e de veículo e as subfunções de cada um. Segundo a confirmação da equipe, a validação incluiu os formulários em modal, a busca de coordenadas pelo endereço, os mapas e a nova Visão geral. Resultado: aprovado, sem itens a corrigir informados.</w:t>
            </w:r>
          </w:p>
        </w:tc>
      </w:tr>
      <w:tr w:rsidR="00DD74F3" w14:paraId="20E0ABC3"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Decisão final</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 utilizado   ☐ adaptado   ☐ descartado</w:t>
            </w:r>
          </w:p>
          <w:p>
            <w:pPr>
              <w:spacing w:after="40" w:line="259" w:lineRule="auto"/>
            </w:pPr>
            <w:r>
              <w:rPr>
                <w:rFonts w:ascii="Aptos" w:hAnsi="Aptos"/>
                <w:b w:val="0"/>
                <w:color w:val="000000"/>
                <w:sz w:val="19"/>
              </w:rPr>
              <w:t>Justificativa: A validação humana aprovou o resultado sem pedir ajustes, então a entrega foi utilizada. Os formulários em modal, a geocodificação e os mapas entraram no meio do ciclo por decisão da equipe e foram documentados e testados junto com o restante.</w:t>
            </w:r>
          </w:p>
        </w:tc>
      </w:tr>
      <w:tr w:rsidR="00DD74F3" w14:paraId="3F0E678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Fontes verificadas</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Pr>
                <w:rFonts w:ascii="Aptos" w:hAnsi="Aptos"/>
                <w:b w:val="0"/>
                <w:color w:val="000000"/>
                <w:sz w:val="19"/>
              </w:rPr>
              <w:t>Spec 007, plano, tarefas, contratos e quickstart do ciclo; WCAG 2.2; documentação do Supabase, do PostGIS, do Playwright, do Leaflet, do OpenStreetMap e do Nominatim; contrato público do ViaCEP. Sem outras fontes externas.</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Identificador do registro</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RIA-024</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Data e hora da interação</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AFCFF"/>
          </w:tcPr>
          <w:p>
            <w:pPr>
              <w:spacing w:after="40" w:line="259" w:lineRule="auto"/>
            </w:pPr>
            <w:r>
              <w:rPr>
                <w:rFonts w:ascii="Aptos" w:hAnsi="Aptos"/>
                <w:b w:val="0"/>
                <w:color w:val="000000"/>
                <w:sz w:val="19"/>
              </w:rPr>
              <w:t>08/10/2026, 08:54:58 - America/Fortaleza</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Decisões e dados pendentes</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T146: decisão da pessoa responsável e da equipe jurídica sobre enviar endereço de pessoa física ao Nominatim e sobre o uso em volume em produção. T145 (reconfirmação do motorista na primeira entrega) pertence à Fase 4. O tempo individual de MS-001 a MS-008 não foi registrado na validação humana. O Nominatim e o ViaCEP reais não rodam no CI (provedores simulados). A geocodificação com o Nominatim é temporária e exclusiva do protótipo (docs/geocodificacao-prototipo.md) e não resolve T146. Validador oficial: Confirmado pelo responsável pelo projeto em 08/10/2026 (mensagem na conversa), a pessoa informou que é Natã Baracho, que a validação registrada aqui pode ser usada e que a tarefa T124 deveria ser corrigida (feito). T122 aprovada pelo responsável, com tempo médio de 15 minutos por métrica (antes citou 20 e 34 minutos); MS-001 a MS-008 não foram detalhadas uma a uma. T125: revisão aprovada e checks da PR verdes no commit dbba135. T146: envio ao Nominatim liberado para o protótipo, a ser revisado no futuro. T160: Confirmado pelo responsável pelo projeto em 08/10/2026 (mensagem na conversa): o fluxo novo (aviso, confirmação, bloqueio de pessoa física e correção no mapa) está validado; amostra, ambiente e duração não foram informados e não estão registrados.</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Responsável pela revisão da equipe</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AFCFF"/>
          </w:tcPr>
          <w:p>
            <w:pPr>
              <w:spacing w:after="40" w:line="259" w:lineRule="auto"/>
            </w:pPr>
            <w:r>
              <w:rPr>
                <w:rFonts w:ascii="Aptos" w:hAnsi="Aptos"/>
                <w:b w:val="0"/>
                <w:color w:val="000000"/>
                <w:sz w:val="19"/>
              </w:rPr>
              <w:t>Natã Baracho</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Data da validação humana</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08/10/2026 (data da gravação das respostas; a pessoa não informou outra)</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Pr>
                <w:rFonts w:ascii="Aptos" w:hAnsi="Aptos"/>
                <w:b/>
                <w:color w:val="214D9A"/>
                <w:sz w:val="19"/>
              </w:rPr>
              <w:t>Rastreabilidade técnica</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Repositório fluxid; branch feat/007-clientes-geocercas-frota; Spec 007, ciclo 01; commit-base 5bb62abf881f315e87ad2df9ccf7cdd285565e3a; hash do diff funcional 4ed2465c0dd7bdb08402ef6295d3212ada3e1d5846a279e04ef2bedd1f9bdea8.</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Pr>
                <w:rFonts w:ascii="Aptos" w:hAnsi="Aptos"/>
                <w:b/>
                <w:color w:val="214D9A"/>
                <w:sz w:val="19"/>
              </w:rPr>
              <w:t>Testes e evidências</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Comandos: npm run lint; npm run typecheck; npm test; npx supabase db reset e npx supabase test db; npm run test:live; npm run build; npx playwright test (desktop-chromium, tablet-webkit e mobile-360-chromium); npm run test:visual:atualizar; npm run test:desempenho:registro. Resultado: aprovado. Evidência: lint e typecheck sem erros; 212 arquivos e 2850 testes de unidade e contrato; 63 arquivos e 1607 testes pgTAP; 17 arquivos e 108 testes ao vivo; 1127 testes E2E aprovados e 31 ignorados; 177 capturas visuais; pacote de entrada de 574,05 kB.</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Pr>
                <w:rFonts w:ascii="Aptos" w:hAnsi="Aptos"/>
                <w:b/>
                <w:color w:val="214D9A"/>
                <w:sz w:val="19"/>
              </w:rPr>
              <w:t>Arquivos e áreas afetadas</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320 arquivos, sem contar os arquivos administrativos do próprio registro em docs/governanca-ia (o RIA e o índice). A lista completa está no Markdown de apoio do registro.</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Pr>
                <w:rFonts w:ascii="Aptos" w:hAnsi="Aptos"/>
                <w:b/>
                <w:color w:val="214D9A"/>
                <w:sz w:val="19"/>
              </w:rPr>
              <w:t>Observações da validação humana</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Pr>
                <w:rFonts w:ascii="Aptos" w:hAnsi="Aptos"/>
                <w:b w:val="0"/>
                <w:color w:val="000000"/>
                <w:sz w:val="19"/>
              </w:rPr>
              <w:t>O commit inclui apenas o escopo da Spec 007. Alterações locais de HTTPS de desenvolvimento (dev:rede, plugin basic-ssl, vite.config.ts e docs/arquitetura-conectividade-supabase.md) ficaram de fora. O Leaflet é a única dependência nova de execução, por decisão registrada no plano. Nenhum documento real, segredo ou dado pessoal foi usado: CPF, CNH e CNPJ de teste são fictícios.</w:t>
            </w:r>
          </w:p>
        </w:tc>
      </w:tr>
    </w:tbl>
    <w:p w14:paraId="26A631A9" w14:textId="77777777" w:rsidR="00DD74F3" w:rsidRDefault="00DD74F3"/>
    <w:p w14:paraId="50CBD9CA" w14:textId="77777777" w:rsidR="00DD74F3" w:rsidRDefault="000400EA">
      <w:pPr>
        <w:pStyle w:val="Ttulo3"/>
      </w:pPr>
      <w:r>
        <w:t>Regras de preenchimento</w:t>
      </w:r>
    </w:p>
    <w:p w14:paraId="376EF978" w14:textId="77777777" w:rsidR="00DD74F3" w:rsidRDefault="000400EA">
      <w:pPr>
        <w:pStyle w:val="Commarcadores"/>
      </w:pPr>
      <w:r>
        <w:t>Registrar apenas interações relevantes para o projeto.</w:t>
      </w:r>
    </w:p>
    <w:p w14:paraId="37653754" w14:textId="77777777" w:rsidR="00DD74F3" w:rsidRDefault="000400EA">
      <w:pPr>
        <w:pStyle w:val="Commarcadores"/>
      </w:pPr>
      <w:r>
        <w:t>Não apresentar conteúdo da IA como autoria exclusiva da equipe sem revisão.</w:t>
      </w:r>
    </w:p>
    <w:p w14:paraId="410856F9" w14:textId="77777777" w:rsidR="00DD74F3" w:rsidRDefault="000400EA">
      <w:pPr>
        <w:pStyle w:val="Commarcadores"/>
      </w:pPr>
      <w:r>
        <w:t>Validar informações técnicas, legais, financeiras ou científicas em fontes confiáveis.</w:t>
      </w:r>
    </w:p>
    <w:p w14:paraId="77FD76E7" w14:textId="77777777" w:rsidR="00DD74F3" w:rsidRDefault="000400EA">
      <w:pPr>
        <w:pStyle w:val="Commarcadores"/>
      </w:pPr>
      <w:r>
        <w:t>Evitar inserir dados pessoais, sigilosos ou sensíveis em ferramentas de IA.</w:t>
      </w:r>
    </w:p>
    <w:p w14:paraId="51C78410" w14:textId="77777777" w:rsidR="00DD74F3" w:rsidRDefault="000400EA">
      <w:pPr>
        <w:pStyle w:val="Commarcadores"/>
      </w:pPr>
      <w:r>
        <w:t>Explicar como a equipe decidiu usar, adaptar ou descartar a resposta gerada.</w:t>
      </w:r>
    </w:p>
    <w:p w14:paraId="6E22354C" w14:textId="77777777" w:rsidR="00DD74F3" w:rsidRDefault="000400EA">
      <w:pPr>
        <w:pStyle w:val="Ttulo3"/>
      </w:pPr>
      <w:r>
        <w:t>Checklist final</w:t>
      </w:r>
    </w:p>
    <w:tbl>
      <w:tblPr>
        <w:tblW w:w="5000" w:type="pct"/>
        <w:jc w:val="center"/>
        <w:tblLook w:val="04A0" w:firstRow="1" w:lastRow="0" w:firstColumn="1" w:lastColumn="0" w:noHBand="0" w:noVBand="1"/>
      </w:tblPr>
      <w:tblGrid>
        <w:gridCol w:w="5126"/>
        <w:gridCol w:w="5126"/>
      </w:tblGrid>
      <w:tr w:rsidR="00DD74F3" w14:paraId="64669A52"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Pr>
                <w:rFonts w:ascii="Aptos" w:hAnsi="Aptos"/>
                <w:b w:val="0"/>
                <w:color w:val="000000"/>
                <w:sz w:val="18"/>
              </w:rPr>
              <w:t>☒ Ferramentas de IA identificadas.</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Pr>
                <w:rFonts w:ascii="Aptos" w:hAnsi="Aptos"/>
                <w:b w:val="0"/>
                <w:color w:val="000000"/>
                <w:sz w:val="18"/>
              </w:rPr>
              <w:t>☒ Prompts relevantes registrados.</w:t>
            </w:r>
          </w:p>
        </w:tc>
      </w:tr>
      <w:tr w:rsidR="00DD74F3" w14:paraId="34AD46F4"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Pr>
                <w:rFonts w:ascii="Aptos" w:hAnsi="Aptos"/>
                <w:b w:val="0"/>
                <w:color w:val="000000"/>
                <w:sz w:val="18"/>
              </w:rPr>
              <w:t>☒ Respostas ou sínteses documentadas.</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Pr>
                <w:rFonts w:ascii="Aptos" w:hAnsi="Aptos"/>
                <w:b w:val="0"/>
                <w:color w:val="000000"/>
                <w:sz w:val="18"/>
              </w:rPr>
              <w:t>☒ Validação humana explicada.</w:t>
            </w:r>
          </w:p>
        </w:tc>
      </w:tr>
      <w:tr w:rsidR="00DD74F3" w14:paraId="7CCD47C0"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Pr>
                <w:rFonts w:ascii="Aptos" w:hAnsi="Aptos"/>
                <w:b w:val="0"/>
                <w:color w:val="000000"/>
                <w:sz w:val="18"/>
              </w:rPr>
              <w:t>☒ Fontes verificadas quando necessário.</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Pr>
                <w:rFonts w:ascii="Aptos" w:hAnsi="Aptos"/>
                <w:b w:val="0"/>
                <w:color w:val="000000"/>
                <w:sz w:val="18"/>
              </w:rPr>
              <w:t>☒ Decisão ou pendência registrada.</w:t>
            </w:r>
          </w:p>
        </w:tc>
      </w:tr>
    </w:tbl>
    <w:p w14:paraId="6A468556" w14:textId="77777777" w:rsidR="00DD74F3" w:rsidRDefault="00DD74F3"/>
    <w:p w14:paraId="2E76265C" w14:textId="77777777" w:rsidR="00DD74F3" w:rsidRDefault="000400EA">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6"/>
      </w:rPr>
      <w:t>INTEGRA SENAI 2026  |  FluxID  |  RIA-024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RIA-024 | Clientes, unidades, geocercas, veículos e motoristas</dc:title>
  <dc:subject>Registro do uso de inteligência artificial no projeto FluxID</dc:subject>
  <dc:creator>Equipe FluxID</dc:creator>
  <keywords/>
  <dc:description>Registro de uso de IA e validação humana do ciclo 01 da Spec 007 do FluxID.</dc:description>
  <lastModifiedBy>Equipe FluxID</lastModifiedBy>
  <revision>1</revision>
  <dcterms:created xsi:type="dcterms:W3CDTF">2026-10-08T19:37:32Z</dcterms:created>
  <dcterms:modified xsi:type="dcterms:W3CDTF">2026-10-08T19:37:32Z</dcterms:modified>
  <category/>
</coreProperties>
</file>