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RIA-014  |  Fundação técnica do FluxID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001 (Fundação técnica do FluxID) com inteligência artificial, cobrindo o setup técnico, resolução determinística de conectividade Supabase, proteção de credenciais e validação PWA/acessibilidade.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Google Antigravity (Gemini 2.5 Pro)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o ciclo 01 da Spec 001 (Fundação técnica do FluxID), abrangendo o setup do projeto React 19 + TypeScript 7 + Vite 8 + Tailwind 4, resolução determinística de conectividade Supabase (local, lan, cloud), estabilidade de sessão, isolamento de credenciais e validação PWA/acessibilidade.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Execução do fluxo /speckit-implement sobre a especificação técnica 001 (specs/001-fundacao-tecnica), cobrindo as quatro histórias de usuário: US1 (MVP técnico com shell vazio e sem regras de domínio), US2 (resolução determinística sequencial de conectividade local -&gt; lan -&gt; cloud), US3 (classificação arquitetural de falhas e estabilidade da sessão) e US4 (adaptação multi-dispositivo PWA com conformidade WCAG 2.2 AA).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Implementação completa do shell web em TypeScript/React sem regras de negócio, fábrica de cliente Supabase singleton por endpoint ativo, resolvedor sequencial (local -&gt; lan -&gt; cloud) com probe leve de saúde em /auth/v1/health, classificador arquitetural de falhas impedindo fallback em erros 4xx/RLS, testes de contrato/unidade/integração/E2E e configuração PWA com isolamento total do cache em relação ao Supabase. Código e testes disponíveis para revisão na branch: https://github.com/aalissonalmeidaq/fluxid_integra2026/tree/chore/bootstrap-antigravity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equipe acompanhou a execução em regime TDD rigoroso. A arquitetura de conectividade implementada respeita todas as regras da constituição do FluxID: credenciais secretas nunca são expostas ao cliente, nenhuma chave secreta utiliza prefixo VITE_, e erros 401/403/RLS bloqueiam transições em vez de acionar fallbacks inseguros. A compatibilidade de compilação do TypeScript 7 com ESLint foi solucionada de forma isolada via hook de compatibilidade.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Execução completa dos gates automatizados: tsc --noEmit (0 erros), eslint . (0 avisos), 63 testes Vitest aprovados (93.3% de cobertura de linhas e 97.6% de funções), 15 testes Playwright E2E aprovados em Desktop, Tablet e Mobile 360px sem violações axe-core, e npm run build gerando bundle de produção em 927 ms. Relatório detalhado em specs/001-fundacao-tecnica/validation.md.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implementação atendeu integralmente aos critérios de aceitação da Spec 001, respeitou os princípios da constituição do FluxID e obteve aprovação total em 100% dos testes e medições de desempenho.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Documentação oficial do Supabase CLI e Supabase JS v2, Diretrizes WCAG 2.2 AA do W3C e documentação do Vite PWA Workbox.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RIA-014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28/09/2026, 11:40:24 -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Substituir o link da branch pelo link definitivo do Pull Request antes de efetuar o merge na branch principal main (vinculado à issue #1).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(Líder Técnico / Equipe FluxID)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28/09/2026   Assinatura ou rubrica: Alisson Almeida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RIA-014 Fundação técnica do FluxID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