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RIA-004  |  Supabase multitenancy e controle de frota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Complementar a arquitetura com Supabase, isolamento multitenant, usuários, arquivos, cilindros, veículos, motoristas, rotas e custódia.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Foi definido que o Supabase controlará banco, autenticação e buckets. A FluxID administrará empresas contratantes; cada empresa cadastrará seus operadores. O sistema deverá vincular cilindros, veículo, motorista e rota, identificando estados como em rota, entregue, devolvido ou em manutenção.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definiu a FluxID como plano de controle e cada empresa como tenant operacional isolado. Propôs Supabase Auth, PostgreSQL com RLS, Storage privado, Realtime, Edge Functions, PostGIS, tabelas de memberships e eventos imutáveis de custódia, além de um serviço separado para telemetria MQTT.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abordagem reduz complexidade e fortalece isolamento. Ainda é necessário dimensionar volume de telemetria, retenção, custo, região de hospedagem, recuperação de desastre e eventual necessidade de serviço backend dedicado além das Edge Functions.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Os requisitos de hierarquia, frota, motoristas, clientes e estados dos cilindros foram confirmados pelo solicitante. A modelagem detalhada ainda deve ser revisada pela equipe.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Supabase foi confirmado como backend principal, com serviço IoT externo para ingestão e comandos.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Documentação oficial Supabase: Auth, Row Level Security, Storage, Realtime, Edge Functions e PostGIS.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RIA-004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26/09/2026 - horário não registrado no histórico disponível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plano Supabase, região, política de backup, retenção da telemetria, limites de armazenamento e estratégia de recuperação.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RIA-004 Supabase multitenancy e controle de frota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