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RIA-008  |  Governança do uso de inteligência artificial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Implantar o registro contínuo das interações com inteligência artificial exigido pelo INTEGRA SENAI.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Foi solicitado utilizar o Template 7 para registrar cada interação, incluindo timestamp, prompt, síntese da resposta, validação humana, decisões da equipe e ações futuras, mantendo o documento vivo durante a criação da solução FluxID.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IA organizou os registros anteriores em documentos individuais, criou um índice vivo, identificou decisões pendentes e definiu um protocolo para registrar futuras interações relevantes sem sobrescrever os registros anteriores.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histórico disponível não contém horário exato para todas as interações anteriores; nesses casos isso foi declarado explicitamente. As decisões atribuídas à equipe não foram presumidas e permanecem pendentes quando não houve confirmação formal.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solicitação desta interação constitui a autorização para iniciar o controle. A equipe deverá revisar os registros, indicar responsáveis e confirmar ou corrigir as decisões marcadas como pendentes.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 procedimento passa a compor a governança do projeto, sujeito à revisão contínua da equipe.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Template 7 fornecido pela equipe: INTEGRA_2026_Entrega_7.docx; histórico das interações do projeto FluxID.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RIA-008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26/09/2026 11:42:19 -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quem revisa cada registro, prazo de validação, local oficial de armazenamento, membros autorizados a aprovar e padrão de assinatura da equipe.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RIA-008 Governança do uso de inteligência artificial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