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RIA-018 | Telas e design system do FluxID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003 (Telas e design system do FluxID)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(Anthropic), modelo Claude Sonnet 5.5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a Spec 003: um design system versionado do FluxID (tokens com contraste verificado, componentes, logotipo oficial e 30 ícones, catálogo próprio) e refazer com ele as telas de identidade da Spec 002, sem mudar rota, campo, validação, permissão nem mensagem de segurança.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responsável pediu ao assistente que executasse o fluxo do Spec Kit da Spec 003 (implementar as tarefas com TDD, convergir e analisar) e, depois, que o orientasse na validação humana. Durante a validação ele relatou que a tela de verificação em duas etapas dava erro ao gerar o QR Code e que só via algumas telas no sistema; pediu a investigação e a correção, e depois aprovou o resultado.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IA gerou o design system (tokens, componentes, ícones, marca, catálogo), o shell da aplicação, a migração das telas de entrada, recuperação, verificação em duas etapas, sessões, organização, perfil, administração e auditoria, os testes (unitários, de contrato e E2E nas larguras de 360, 768 e 1920 px, teclado, cores forçadas, escalas e regressão visual), as capturas de referência geradas no Linux e a documentação do ciclo. Também corrigiu a matrícula do segundo fator, que falhava quando o usuário tinha um fator abandonado (nome repetido), e dois defeitos achados nas capturas (QR do simulador e botão que quebrava em duas linhas). Link para validação da equipe: https://github.com/aalissonalmeidaq/fluxid_integra2026/pull/7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conferência crítica achou e corrigiu o que os testes verdes não mostravam: as capturas de referência trariam um QR Code quebrado (o simulador mandava um SVG já com prefixo e o supabase-js acrescenta o próprio) e botões do cabeçalho que quebravam em duas linhas a 768 px; o campo de data e hora não tinha anel de foco; a tabela de auditoria estourava a largura a 768 px; e o skip link ficava com 40 px de altura ao receber foco. A matrícula do segundo fator falhava com mfa_factor_name_conflict, e a causa estava na camada de aplicação da Spec 002. O teste ao vivo do MFA não foi repetido depois dessa correção, porque o usuário global já tem um fator verificado do teste manual; a correção é coberta por testes unitários.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responsável pela spec, Alisson Almeida, validou o catálogo do design system e as telas de entrada, início, perfil e verificação em duas etapas no próprio sistema, com o Supabase local, usando Chrome no Windows 11 e sem leitor de tela. As demais telas foram conferidas por ele nas capturas de referência. Ao final ele declarou "tudo aprovado", inclusive a linha de base visual. Amostra: uma pessoa. A duração não foi informada. Ele não detalhou, item a item, o símbolo de 16 px, o piscar e o aparelho real, e não houve confirmação de teste em aparelho real. O teste com leitor de tela foi dispensado por decisão do responsável: leitor de tela não será usado no projeto atual (01/10/2026).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entrega cumpre a spec e passou em todas as verificações automáticas. O responsável aprovou o catálogo, as telas e a linha de base. Os dois defeitos que ele ajudou a achar (QR do simulador e botão quebrado em 768 px) e a falha da matrícula do segundo fator foram corrigidos antes da aprovação.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Nenhuma fonte externa consultada. As decisões partiram da spec, do plano, dos contratos, da constituição e das pranchas de identidade do repositório. A fonte Montserrat vem do pacote @fontsource-variable/montserrat (licença OFL-1.1), hospedada no aplicativo.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RIA-018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01/10/2026, 15:02:31 -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Link de validação trocado pelo do pull request #7 em 01/10/2026. Confirmar, quando houver oportunidade, o teste em aparelho real (teclado virtual, rede móvel lenta, paisagem), que não foi feito. Registrar a duração da validação humana, se for conhecida. Resolvido em 01/10/2026: o teste ao vivo do MFA foi repetido depois da correção (11 arquivos e 61 testes aprovados, depois de remover do banco local os fatores de teste dos usuários global e master); o leitor de tela foi dispensado, porque não será usado no projeto atual.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01/10/2026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feat/003-design-system-telas; Spec 003, ciclo 01; commit-base 9275499624b8b3cb3bd8d84a63c46181973f809d; hash do diff funcional 6ea7354a7968c1f3da8bb3bdcf42c4dc5a30f8e06cd311ef1a938fa04d56872b.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npm run test; npm run test:coverage; npm run test:e2e (5 projetos); npm run test:visual:atualizar (Linux, contêiner oficial do Playwright); npm run test:live (Supabase local); npm run build. Resultado: aprovado. Evidência: lint e typecheck sem erros; 102 arquivos e 1.386 testes unitários e de contrato aprovados; cobertura dentro dos limites (92,12% das instruções); E2E em 5 projetos: 699 aprovados, 20 ignorados, 0 falhas; 78 capturas visuais geradas no Linux e a segunda rodada de comparação aprovada por inteiro; 11 arquivos e 61 testes ao vivo aprovados com o Supabase local (rodada anterior à correção do segundo fator); build de produção sem o catálogo em dist/. Detalhes em specs/003-design-system-telas/validation.md e baseline-desempenho.md.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276 arquivos.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Depois de aberto o pull request, o CI reprovou um teste de foco da própria spec (lento no servidor, passava local); ele passou a aguardar o foco com waitFor, e o link do RIA foi trocado pelo do PR. A duração da validação humana não foi informada e não foi estimada. O desempenho do shell ficou dentro do limite de 20% (132 ms contra 114 ms; 694.916 contra 592.778 bytes), com pouca folga: o logotipo vertical e o negativo passam de 56 KB cada. Sem rede, salvar o perfil mostra Acesso negado em vez de uma mensagem de conexão; isso vem da camada de aplicação da Spec 002 e não foi alterado.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RIA-018 | Telas e design system do FluxID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