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RIA-003  |  Arquitetura web PWA e integração IoT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a arquitetura inicial do sistema web responsivo, da PWA operacional e da integração com os identificadores e dispositivos IoT.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solicitado um sistema React e TypeScript, 100% responsivo, instalável como PWA, usando Tailwind CSS, com leitura de QR Code, Data Matrix e NFC, integração com GPS e transmissão celular para localizar cilindros em mapa.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propôs aplicações administrativas e operacionais compartilhando componentes, armazenamento offline, sincronização idempotente, mapas, leitura de identificadores e uma camada de ingestão de telemetria. Também diferenciou GPS como fonte de posição e GSM como meio de comunicação.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arquitetura atende ao conceito, porém funcionalidades contínuas de Bluetooth, NFC e localização em segundo plano podem exigir ponte nativa. A escolha entre PWA pura e aplicativo híbrido depende dos aparelhos e cenários de campo.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Os requisitos foram ampliados em interações posteriores com Supabase, multitenancy, frota, trava inteligente, geocerca, BLE e controle de acesso.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React, TypeScript e Tailwind foram mantidos; a arquitetura mobile poderá usar Capacitor para recursos nativos.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Requisitos fornecidos pela equipe. Documentação técnica dos navegadores e plataformas móveis deverá orientar a prova de conceito.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RIA-003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26/09/2026 - horário não registrado no histórico disponível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Testar QR, Data Matrix, NFC, BLE e GPS em segundo plano nos modelos reais de celulares; decidir PWA pura ou empacotamento híbrido.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RIA-003 Arquitetura web PWA e integração IoT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