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RIA-007  |  Controle de acesso RBAC e RLS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usuários master, perfis de acesso, permissões e isolamento entre FluxID e tenants.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solicitado um master FluxID com controle total, criação de usuários e perfis semelhantes a ACL, administração de tenants, finanças e liberações. Cada tenant deverá possuir um master capaz de criar usuários e atribuir perfis, incluindo motorista e técnico.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modelou RBAC com regras contextuais e RLS: identidades, memberships, perfis, permissões atômicas e condições por tenant, viagem e cilindro. Foram definidos perfis padrão protegidos, perfis personalizados e limites para impedir que tenants concedam permissões de plataforma.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conceito informado como ACL corresponde principalmente a RBAC com ABAC. Nenhum master deve conhecer senhas alheias; ele poderá convidar, suspender, revogar sessões e forçar redefinição. Perfis amplos precisam de MFA, segregação e revisão periódica.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hierarquia foi estruturada conforme o relato. A matriz final de permissões e o fluxo financeiro ainda dependem de decisão da equipe.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RBAC, ABAC e RLS foram recomendados como modelo; perfis definitivos permanecem em elaboração.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Documentação oficial Supabase Auth, Row Level Security e Custom Access Token Hooks.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RIA-007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11:37:41 -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Aprovar catálogo de permissões; definir papéis obrigatórios; regras de dupla aprovação; MFA; prazo de convites; duração de sessão e revisão de acesso.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RIA-007 Controle de acesso RBAC e RLS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