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80975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600200" cy="7620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0"/>
      </w:pPr>
    </w:p>
    <w:p>
      <w:pPr>
        <w:jc w:val="center"/>
      </w:pPr>
      <w:r>
        <w:drawing>
          <wp:inline distT="0" distB="0" distL="0" distR="0">
            <wp:extent cx="4476750" cy="1057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 w:before="100"/>
        <w:jc w:val="center"/>
      </w:pPr>
      <w:r>
        <w:rPr>
          <w:i/>
          <w:iCs/>
          <w:color w:val="475569"/>
          <w:sz w:val="28"/>
          <w:szCs w:val="28"/>
        </w:rPr>
        <w:t xml:space="preserve">Smart Spending, Student Style</w:t>
      </w:r>
    </w:p>
    <w:p>
      <w:pPr>
        <w:spacing w:after="2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0F172A"/>
          <w:sz w:val="25"/>
          <w:szCs w:val="25"/>
        </w:rPr>
        <w:t xml:space="preserve">Project README</w:t>
      </w:r>
    </w:p>
    <w:p>
      <w:r>
        <w:br w:type="page"/>
      </w:r>
    </w:p>
    <w:p>
      <w:pPr>
        <w:spacing w:after="4200"/>
      </w:pPr>
    </w:p>
    <w:p>
      <w:pPr>
        <w:jc w:val="center"/>
      </w:pPr>
      <w:r>
        <w:drawing>
          <wp:inline distT="0" distB="0" distL="0" distR="0">
            <wp:extent cx="1600200" cy="1895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60"/>
        <w:jc w:val="center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Team: SharpStackers!</w:t>
      </w:r>
    </w:p>
    <w:p>
      <w:pPr>
        <w:spacing w:after="220"/>
        <w:jc w:val="center"/>
      </w:pPr>
      <w:r>
        <w:rPr>
          <w:color w:val="475569"/>
          <w:sz w:val="20"/>
          <w:szCs w:val="20"/>
        </w:rPr>
        <w:t xml:space="preserve">Branch: Aptech - SFC   ·   Batch: AI2025-02D   ·   Faculty: Miss Laiba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cantSplit/>
          <w:tblHeader/>
        </w:trPr>
        <w:tc>
          <w:tcPr>
            <w:tcW w:type="dxa" w:w="5426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6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</w:tr>
      <w:tr>
        <w:trPr>
          <w:cantSplit/>
        </w:trPr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M. Aaliyan Irfan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1640862</w:t>
            </w:r>
          </w:p>
        </w:tc>
      </w:tr>
      <w:tr>
        <w:trPr>
          <w:cantSplit/>
        </w:trPr>
        <w:tc>
          <w:tcPr>
            <w:tcW w:type="dxa" w:w="5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Shayan Mirali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1641572</w:t>
            </w:r>
          </w:p>
        </w:tc>
      </w:tr>
      <w:tr>
        <w:trPr>
          <w:cantSplit/>
        </w:trPr>
        <w:tc>
          <w:tcPr>
            <w:tcW w:type="dxa" w:w="5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Sameer Qadeer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1640924</w:t>
            </w:r>
          </w:p>
        </w:tc>
      </w:tr>
      <w:tr>
        <w:trPr>
          <w:cantSplit/>
        </w:trPr>
        <w:tc>
          <w:tcPr>
            <w:tcW w:type="dxa" w:w="5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Riyan Khurram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1641084</w:t>
            </w:r>
          </w:p>
        </w:tc>
      </w:tr>
    </w:tbl>
    <w:p>
      <w:r>
        <w:br w:type="page"/>
      </w:r>
    </w:p>
    <w:p>
      <w:pPr>
        <w:pStyle w:val="Heading1"/>
        <w:spacing w:after="180" w:before="420"/>
      </w:pPr>
      <w:r>
        <w:t xml:space="preserve">1. Main Features</w:t>
      </w:r>
    </w:p>
    <w:p>
      <w:pPr>
        <w:spacing w:after="160"/>
      </w:pPr>
      <w:r>
        <w:rPr>
          <w:sz w:val="21"/>
          <w:szCs w:val="21"/>
        </w:rPr>
        <w:t xml:space="preserve">Campus Coin is a full-stack student budget-tracking web application. Its core features are: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Secure registration &amp; login with session-based authentication (sliding 24h idle expiry, 7-day absolute cap).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Income &amp; expense transaction tracking with custom and default categories.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Monthly budgets per category with progress indicators and over-budget warnings.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Dashboard with spending summaries, category-wise breakdowns, and month-over-month trend charts (Recharts).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Personalized, rule-based saving tips generated from the student’s own transaction habits.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Monthly insight summaries highlighting notable spending changes.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PDF report export (jsPDF + html2canvas-pro) of transactions and reports.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Admin panel: user management (enable/disable, reset data), category management, and announcements.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Password reset via emailed token (EmailJS) with automatic session revocation on reset.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Responsive UI with light/dark mode, Terms &amp; Conditions and Privacy Policy pages.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2. Test Credentials</w:t>
      </w:r>
    </w:p>
    <w:p>
      <w:pPr>
        <w:spacing w:after="160"/>
      </w:pPr>
      <w:r>
        <w:rPr>
          <w:sz w:val="21"/>
          <w:szCs w:val="21"/>
        </w:rPr>
        <w:t xml:space="preserve">The following seeded accounts can be used to evaluate the application (also included as INSERT statements in the accompanying campus_coin_schema.sql file):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cantSplit/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26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admin@campuscoin.local</w:t>
            </w:r>
          </w:p>
        </w:tc>
        <w:tc>
          <w:tcPr>
            <w:tcW w:type="dxa" w:w="24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Admin@12345</w:t>
            </w:r>
          </w:p>
        </w:tc>
      </w:tr>
      <w:tr>
        <w:trPr>
          <w:cantSplit/>
        </w:trP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Student (Demo)</w:t>
            </w:r>
          </w:p>
        </w:tc>
        <w:tc>
          <w:tcPr>
            <w:tcW w:type="dxa" w:w="4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demo@campuscoin.local</w:t>
            </w:r>
          </w:p>
        </w:tc>
        <w:tc>
          <w:tcPr>
            <w:tcW w:type="dxa" w:w="24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Demo@12345</w:t>
            </w:r>
          </w:p>
        </w:tc>
      </w:tr>
    </w:tbl>
    <w:p>
      <w:pPr>
        <w:spacing w:after="160"/>
      </w:pPr>
    </w:p>
    <w:p>
      <w:pPr>
        <w:pBdr>
          <w:left w:val="single" w:color="D97706" w:sz="18" w:space="8"/>
        </w:pBdr>
        <w:shd w:fill="FEF3C7" w:val="clear"/>
        <w:spacing w:after="200" w:before="120"/>
        <w:ind w:left="100"/>
      </w:pPr>
      <w:r>
        <w:rPr>
          <w:b/>
          <w:bCs/>
          <w:color w:val="0F172A"/>
          <w:sz w:val="21"/>
          <w:szCs w:val="21"/>
        </w:rPr>
        <w:t xml:space="preserve">⚠ Admin Login: Admin accounts do NOT sign in from the regular /login page. Use the dedicated admin route — https://campuscoin-app.vercel.app/admin/login — with the Admin credentials above. Student accounts use the regular /login page.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3. Sample / Seed Data</w:t>
      </w:r>
    </w:p>
    <w:p>
      <w:pPr>
        <w:spacing w:after="160"/>
      </w:pPr>
      <w:r>
        <w:rPr>
          <w:sz w:val="21"/>
          <w:szCs w:val="21"/>
        </w:rPr>
        <w:t xml:space="preserve">Running the backend seed script (npm run db:seed inside /backend) populates the database with: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The Admin and Demo Student accounts listed above.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full set of default income and expense categories (Allowance, Part-time Job, Scholarship, Gift, Food, Transport, Hostel/Rent, Academics, Subscriptions, Entertainment, Miscellaneous, etc.).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Sample transactions for the demo student across multiple categories and months, so charts, budgets, and insights are populated out of the box.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Sample budgets for the demo student to demonstrate progress bars and over-budget warnings.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sample admin announcement visible on the student dashboard.</w:t>
      </w:r>
    </w:p>
    <w:p>
      <w:pPr>
        <w:spacing w:after="160"/>
      </w:pPr>
      <w:r>
        <w:rPr>
          <w:sz w:val="21"/>
          <w:szCs w:val="21"/>
        </w:rPr>
        <w:t xml:space="preserve">The seed script lives at backend/prisma/seed.js. The same data is also included as ready-to-run INSERT statements in database/campus_coin_schema.sql.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4. Live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https://campuscoin-app.vercel.app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Login</w:t>
            </w:r>
          </w:p>
        </w:tc>
        <w:tc>
          <w:tcPr>
            <w:tcW w:type="dxa" w:w="6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https://campuscoin-app.vercel.app/admin/login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API (Render)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https://campuscoin-backend-1b5x.onrender.com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 (Aiven MySQL)</w:t>
            </w:r>
          </w:p>
        </w:tc>
        <w:tc>
          <w:tcPr>
            <w:tcW w:type="dxa" w:w="6026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Private managed MySQL instance on Aiven — not publicly browsable; connection string is provided to evaluators via the backend .env DATABASE_URL. Schema &amp; sample data: see database/campus_coin_schema.sql.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https://github.com/aaliyandevs/CampusCoin</w:t>
            </w:r>
          </w:p>
        </w:tc>
      </w:tr>
    </w:tbl>
    <w:p>
      <w:pPr>
        <w:spacing w:after="80"/>
      </w:pPr>
    </w:p>
    <w:p>
      <w:pPr>
        <w:pStyle w:val="Heading1"/>
        <w:spacing w:after="180" w:before="420"/>
      </w:pPr>
      <w:r>
        <w:t xml:space="preserve">5. Tech Stack</w:t>
      </w:r>
    </w:p>
    <w:p>
      <w:pPr>
        <w:pStyle w:val="Heading2"/>
        <w:spacing w:after="120" w:before="260"/>
      </w:pPr>
      <w:r>
        <w:t xml:space="preserve">5.1 Frontend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React 19 (Vite)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Tailwind CSS v4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React Router 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React Hook Form + Zod (form validation)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Recharts (charts)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jsPDF + html2canvas-pro (PDF export)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Axios (API client)</w:t>
      </w:r>
    </w:p>
    <w:p>
      <w:pPr>
        <w:pStyle w:val="Heading2"/>
        <w:spacing w:after="120" w:before="260"/>
      </w:pPr>
      <w:r>
        <w:t xml:space="preserve">5.2 Backend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Node.js + Express 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Prisma ORM 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(Aiven, managed)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bcryptjs (password hashing)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Session-based authentication (SHA-256 hashed opaque tokens, stored server-side)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helmet + express-rate-limit (security hardening)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EmailJS (password reset emails)</w:t>
      </w:r>
    </w:p>
    <w:p>
      <w:pPr>
        <w:pStyle w:val="Heading2"/>
        <w:spacing w:after="120" w:before="260"/>
      </w:pPr>
      <w:r>
        <w:t xml:space="preserve">5.3 Hosting &amp; Tooling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Frontend deployed on Vercel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Backend deployed on Render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Database hosted on Aiven (managed MySQL)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ESLint + Prettier for code quality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6. Project Installation Guide</w:t>
      </w:r>
    </w:p>
    <w:p>
      <w:pPr>
        <w:pStyle w:val="Heading2"/>
        <w:spacing w:after="120" w:before="260"/>
      </w:pPr>
      <w:r>
        <w:t xml:space="preserve">6.1 Prerequisites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 MySQL-compatible database (local MySQL/MariaDB, or a managed instance such as Aiven)</w:t>
      </w:r>
    </w:p>
    <w:p>
      <w:pPr>
        <w:pStyle w:val="Heading2"/>
        <w:spacing w:after="120" w:before="260"/>
      </w:pPr>
      <w:r>
        <w:t xml:space="preserve">6.2 Clone the repository</w:t>
      </w:r>
    </w:p>
    <w:p>
      <w:pPr>
        <w:shd w:fill="F1F5F9" w:val="clear"/>
        <w:spacing w:after="100"/>
        <w:ind w:lef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git clone https://github.com/aaliyandevs/CampusCoin.git
cd CampusCoin</w:t>
      </w:r>
    </w:p>
    <w:p>
      <w:pPr>
        <w:pStyle w:val="Heading2"/>
        <w:spacing w:after="120" w:before="260"/>
      </w:pPr>
      <w:r>
        <w:t xml:space="preserve">6.3 Backend setup</w:t>
      </w:r>
    </w:p>
    <w:p>
      <w:pPr>
        <w:shd w:fill="F1F5F9" w:val="clear"/>
        <w:spacing w:after="100"/>
        <w:ind w:lef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cd backend
npm install
cp .env.example .env   # fill in DATABASE_URL and other values
npx prisma migrate deploy
npm run db:seed         # optional: loads sample data
npm run dev</w:t>
      </w:r>
    </w:p>
    <w:p>
      <w:pPr>
        <w:spacing w:after="160"/>
      </w:pPr>
      <w:r>
        <w:rPr>
          <w:sz w:val="21"/>
          <w:szCs w:val="21"/>
        </w:rPr>
        <w:t xml:space="preserve">The backend starts on http://localhost:5000 by default.</w:t>
      </w:r>
    </w:p>
    <w:p>
      <w:pPr>
        <w:pStyle w:val="Heading2"/>
        <w:spacing w:after="120" w:before="260"/>
      </w:pPr>
      <w:r>
        <w:t xml:space="preserve">6.4 Frontend setup</w:t>
      </w:r>
    </w:p>
    <w:p>
      <w:pPr>
        <w:shd w:fill="F1F5F9" w:val="clear"/>
        <w:spacing w:after="100"/>
        <w:ind w:lef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cd ..
npm install
npm run dev</w:t>
      </w:r>
    </w:p>
    <w:p>
      <w:pPr>
        <w:spacing w:after="160"/>
      </w:pPr>
      <w:r>
        <w:rPr>
          <w:sz w:val="21"/>
          <w:szCs w:val="21"/>
        </w:rPr>
        <w:t xml:space="preserve">The frontend starts on http://localhost:5173 by default and expects the backend API URL to be configured via its own environment variable (see .env.example in the project root).</w:t>
      </w:r>
    </w:p>
    <w:p>
      <w:pPr>
        <w:pStyle w:val="Heading2"/>
        <w:spacing w:after="120" w:before="260"/>
      </w:pPr>
      <w:r>
        <w:t xml:space="preserve">6.5 Alternative: import the schema directly</w:t>
      </w:r>
    </w:p>
    <w:p>
      <w:pPr>
        <w:spacing w:after="160"/>
      </w:pPr>
      <w:r>
        <w:rPr>
          <w:sz w:val="21"/>
          <w:szCs w:val="21"/>
        </w:rPr>
        <w:t xml:space="preserve">Instead of running Prisma migrations, the provided database/campus_coin_schema.sql file can be imported directly into a fresh MySQL database:</w:t>
      </w:r>
    </w:p>
    <w:p>
      <w:pPr>
        <w:shd w:fill="F1F5F9" w:val="clear"/>
        <w:spacing w:after="100"/>
        <w:ind w:left="20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mysql -u &lt;user&gt; -p &lt; database/campus_coin_schema.sql</w:t>
      </w:r>
    </w:p>
    <w:p>
      <w:pPr>
        <w:spacing w:after="160"/>
      </w:pPr>
      <w:r>
        <w:rPr>
          <w:sz w:val="21"/>
          <w:szCs w:val="21"/>
        </w:rPr>
        <w:t xml:space="preserve">This creates the campus_coin database, all tables, and inserts the same sample data described in Section 3.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7. Design</w:t>
      </w:r>
    </w:p>
    <w:p>
      <w:pPr>
        <w:spacing w:after="160"/>
      </w:pPr>
      <w:r>
        <w:rPr>
          <w:sz w:val="21"/>
          <w:szCs w:val="21"/>
        </w:rPr>
        <w:t xml:space="preserve">The UI follows a clean, student-friendly design system built on Tailwind CSS v4, using a warm stone/neutral background palette with a brand accent color, the Plus Jakarta Sans display font, and Calibri-style body text for readability.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Consistent layout shells for the authenticated app (Sidebar navigation) and admin panel (separate AdminShell).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Card-based dashboard widgets for balances, category breakdowns, and charts.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Light and dark mode support throughout, including legal pages.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Mobile-first responsive layouts, validated at common breakpoints (mobile, tablet, desktop).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Reusable components (SiteFooter, LegalLayout, form inputs) to keep visual language consistent across pages.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Accessible color contrast and clear empty/error/loading states across all data views.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8. Performance 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Vite-powered build with code-splitting and tree-shaking for a minimal production bundle.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Logo and image assets compressed and served at the exact display resolution used in the UI (e.g. logo-full.png resized to 1700x400).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Database queries scoped and indexed appropriately (e.g. indexed userId foreign keys on transactions, budgets, and sessions) to keep dashboard and report queries fast as data grows.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Session verification uses a throttled sliding-expiry refresh (updated at most every 5 minutes) instead of writing to the database on every request, reducing write 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API responses paginated/scoped per user rather than returning full table dumps.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Rate limiting (express-rate-limit) on auth routes to protect the backend from abuse under 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Charts and PDF export are rendered client-side on demand rather than pre-generated, keeping server load low.</w:t>
      </w:r>
    </w:p>
    <w:p>
      <w:pPr>
        <w:spacing w:after="80"/>
      </w:pPr>
    </w:p>
    <w:p>
      <w:pPr>
        <w:pStyle w:val="Heading1"/>
        <w:spacing w:after="180" w:before="420"/>
      </w:pPr>
      <w:r>
        <w:t xml:space="preserve">9. About AI Help</w:t>
      </w:r>
    </w:p>
    <w:p>
      <w:pPr>
        <w:spacing w:after="160"/>
      </w:pPr>
      <w:r>
        <w:rPr>
          <w:sz w:val="21"/>
          <w:szCs w:val="21"/>
        </w:rPr>
        <w:t xml:space="preserve">Campus Coin was designed, built, and tested by the SharpStackers team. AI tools (Claude and ChatGPT) were used only for minor assistance along the way — such as small coding help and generating a few reference diagrams — not to build the project itself.</w:t>
      </w:r>
    </w:p>
    <w:p>
      <w:pPr>
        <w:spacing w:after="400"/>
      </w:pPr>
    </w:p>
    <w:p>
      <w:pPr>
        <w:spacing w:before="200"/>
        <w:jc w:val="center"/>
      </w:pPr>
      <w:r>
        <w:rPr>
          <w:rFonts w:ascii="Cambria" w:cs="Cambria" w:eastAsia="Cambria" w:hAnsi="Cambria"/>
          <w:b/>
          <w:bCs/>
          <w:color w:val="0F172A"/>
          <w:sz w:val="30"/>
          <w:szCs w:val="30"/>
        </w:rPr>
        <w:t xml:space="preserve">Made by SharpStackers!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20"/>
    </w:pPr>
    <w:rPr>
      <w:rFonts w:ascii="Cambria" w:cs="Cambria" w:eastAsia="Cambria" w:hAnsi="Cambria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2574fe0504b1730d814ba8bf98a2c2e13ea4bbe.png"/><Relationship Id="rId8" Type="http://schemas.openxmlformats.org/officeDocument/2006/relationships/image" Target="media/f7fd1731fdd55e3b4ca35a5bf7858cc91ba7eae2.png"/><Relationship Id="rId9" Type="http://schemas.openxmlformats.org/officeDocument/2006/relationships/image" Target="media/9a4612d06c260dfa333d2a56bb12573ad5fd44ee.png"/><Relationship Id="rId10" Type="http://schemas.openxmlformats.org/officeDocument/2006/relationships/image" Target="media/12c590fe0d597089f2289ebf8f8cc131b2ffc82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2026-09-28T19:42:59.073Z</dcterms:created>
  <dcterms:modified xsi:type="dcterms:W3CDTF">2026-09-28T19:42:59.074Z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