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5DDE0" w14:textId="77777777" w:rsidR="00813C6A" w:rsidRDefault="00813C6A" w:rsidP="00173CC1">
      <w:pPr>
        <w:jc w:val="both"/>
        <w:rPr>
          <w:rFonts w:ascii="Arial" w:hAnsi="Arial" w:cs="Arial"/>
          <w:b/>
          <w:bCs/>
          <w:color w:val="000000" w:themeColor="text1"/>
          <w:sz w:val="28"/>
          <w:szCs w:val="32"/>
        </w:rPr>
      </w:pPr>
      <w:bookmarkStart w:id="0" w:name="_Toc489863226"/>
    </w:p>
    <w:p w14:paraId="075E82F4" w14:textId="77777777" w:rsidR="00173CC1" w:rsidRPr="00173CC1" w:rsidRDefault="00173CC1" w:rsidP="00173CC1">
      <w:pPr>
        <w:jc w:val="both"/>
        <w:rPr>
          <w:rFonts w:ascii="Arial" w:hAnsi="Arial" w:cs="Arial"/>
          <w:color w:val="000000" w:themeColor="text1"/>
          <w:sz w:val="21"/>
        </w:rPr>
      </w:pPr>
      <w:r w:rsidRPr="00173CC1">
        <w:rPr>
          <w:rFonts w:ascii="Arial" w:hAnsi="Arial" w:cs="Arial"/>
          <w:b/>
          <w:bCs/>
          <w:color w:val="000000" w:themeColor="text1"/>
          <w:sz w:val="28"/>
          <w:szCs w:val="32"/>
        </w:rPr>
        <w:t>Those Formative Peers: Improving First Year Academic Writing Through Peer Assessment Groups</w:t>
      </w:r>
      <w:bookmarkEnd w:id="0"/>
    </w:p>
    <w:p w14:paraId="4FD28755" w14:textId="77777777" w:rsidR="00173CC1" w:rsidRPr="001E07EA" w:rsidRDefault="00173CC1" w:rsidP="00173CC1">
      <w:pPr>
        <w:pStyle w:val="DefaultLabelStyle"/>
        <w:jc w:val="both"/>
        <w:rPr>
          <w:color w:val="000000" w:themeColor="text1"/>
        </w:rPr>
      </w:pPr>
      <w:r w:rsidRPr="001E07EA">
        <w:rPr>
          <w:color w:val="000000" w:themeColor="text1"/>
        </w:rPr>
        <w:t>Key Words</w:t>
      </w:r>
    </w:p>
    <w:p w14:paraId="5A9EA6A9" w14:textId="77777777" w:rsidR="00173CC1" w:rsidRPr="001E07EA" w:rsidRDefault="00173CC1" w:rsidP="00173CC1">
      <w:pPr>
        <w:pStyle w:val="DefaultValueStyle"/>
        <w:jc w:val="both"/>
        <w:rPr>
          <w:color w:val="000000" w:themeColor="text1"/>
        </w:rPr>
      </w:pPr>
      <w:r w:rsidRPr="001E07EA">
        <w:rPr>
          <w:color w:val="000000" w:themeColor="text1"/>
        </w:rPr>
        <w:t>formative, summative, peer assessment, peer writing groups, feedback</w:t>
      </w:r>
    </w:p>
    <w:p w14:paraId="136C98FC" w14:textId="77777777" w:rsidR="00173CC1" w:rsidRPr="001E07EA" w:rsidRDefault="00173CC1" w:rsidP="00173CC1">
      <w:pPr>
        <w:pStyle w:val="DefaultLabelStyle"/>
        <w:jc w:val="both"/>
        <w:rPr>
          <w:color w:val="000000" w:themeColor="text1"/>
        </w:rPr>
      </w:pPr>
      <w:r w:rsidRPr="001E07EA">
        <w:rPr>
          <w:color w:val="000000" w:themeColor="text1"/>
        </w:rPr>
        <w:t>Abstract</w:t>
      </w:r>
    </w:p>
    <w:p w14:paraId="4835AB20" w14:textId="77777777" w:rsidR="00173CC1" w:rsidRPr="001E07EA" w:rsidRDefault="00173CC1" w:rsidP="00173CC1">
      <w:pPr>
        <w:pStyle w:val="DefaultValueStyle"/>
        <w:jc w:val="both"/>
        <w:rPr>
          <w:color w:val="000000" w:themeColor="text1"/>
        </w:rPr>
      </w:pPr>
      <w:r w:rsidRPr="001E07EA">
        <w:rPr>
          <w:color w:val="000000" w:themeColor="text1"/>
        </w:rPr>
        <w:t>There is general agreement in the literature that peer assessment, particularly formative assessment, promotes effective learning for University students (</w:t>
      </w:r>
      <w:proofErr w:type="spellStart"/>
      <w:r w:rsidRPr="001E07EA">
        <w:rPr>
          <w:color w:val="000000" w:themeColor="text1"/>
        </w:rPr>
        <w:t>Boud</w:t>
      </w:r>
      <w:proofErr w:type="spellEnd"/>
      <w:r w:rsidRPr="001E07EA">
        <w:rPr>
          <w:color w:val="000000" w:themeColor="text1"/>
        </w:rPr>
        <w:t xml:space="preserve">, 2000; </w:t>
      </w:r>
      <w:proofErr w:type="spellStart"/>
      <w:r w:rsidRPr="001E07EA">
        <w:rPr>
          <w:color w:val="000000" w:themeColor="text1"/>
        </w:rPr>
        <w:t>Boud</w:t>
      </w:r>
      <w:proofErr w:type="spellEnd"/>
      <w:r w:rsidRPr="001E07EA">
        <w:rPr>
          <w:color w:val="000000" w:themeColor="text1"/>
        </w:rPr>
        <w:t xml:space="preserve">, Cohen &amp; Sampson, 1999; </w:t>
      </w:r>
      <w:proofErr w:type="spellStart"/>
      <w:r w:rsidRPr="001E07EA">
        <w:rPr>
          <w:color w:val="000000" w:themeColor="text1"/>
        </w:rPr>
        <w:t>Falchikov</w:t>
      </w:r>
      <w:proofErr w:type="spellEnd"/>
      <w:r w:rsidRPr="001E07EA">
        <w:rPr>
          <w:color w:val="000000" w:themeColor="text1"/>
        </w:rPr>
        <w:t xml:space="preserve">, 2007; </w:t>
      </w:r>
      <w:proofErr w:type="spellStart"/>
      <w:r w:rsidRPr="001E07EA">
        <w:rPr>
          <w:color w:val="000000" w:themeColor="text1"/>
        </w:rPr>
        <w:t>Lui</w:t>
      </w:r>
      <w:proofErr w:type="spellEnd"/>
      <w:r w:rsidRPr="001E07EA">
        <w:rPr>
          <w:color w:val="000000" w:themeColor="text1"/>
        </w:rPr>
        <w:t xml:space="preserve"> &amp; Carless, 2006; Sadler, 1989; Topping, 1998). Where summative assessment has been </w:t>
      </w:r>
      <w:proofErr w:type="spellStart"/>
      <w:r w:rsidRPr="001E07EA">
        <w:rPr>
          <w:color w:val="000000" w:themeColor="text1"/>
        </w:rPr>
        <w:t>criticised</w:t>
      </w:r>
      <w:proofErr w:type="spellEnd"/>
      <w:r w:rsidRPr="001E07EA">
        <w:rPr>
          <w:color w:val="000000" w:themeColor="text1"/>
        </w:rPr>
        <w:t xml:space="preserve"> for its emphasis on awarding credentials (</w:t>
      </w:r>
      <w:proofErr w:type="spellStart"/>
      <w:r w:rsidRPr="001E07EA">
        <w:rPr>
          <w:color w:val="000000" w:themeColor="text1"/>
        </w:rPr>
        <w:t>Boud</w:t>
      </w:r>
      <w:proofErr w:type="spellEnd"/>
      <w:r w:rsidRPr="001E07EA">
        <w:rPr>
          <w:color w:val="000000" w:themeColor="text1"/>
        </w:rPr>
        <w:t xml:space="preserve"> &amp; </w:t>
      </w:r>
      <w:proofErr w:type="spellStart"/>
      <w:r w:rsidRPr="001E07EA">
        <w:rPr>
          <w:color w:val="000000" w:themeColor="text1"/>
        </w:rPr>
        <w:t>Falchikov</w:t>
      </w:r>
      <w:proofErr w:type="spellEnd"/>
      <w:r w:rsidRPr="001E07EA">
        <w:rPr>
          <w:color w:val="000000" w:themeColor="text1"/>
        </w:rPr>
        <w:t>, 2006) and, in turn, its competitive nature (</w:t>
      </w:r>
      <w:proofErr w:type="spellStart"/>
      <w:r w:rsidRPr="001E07EA">
        <w:rPr>
          <w:color w:val="000000" w:themeColor="text1"/>
        </w:rPr>
        <w:t>Boud</w:t>
      </w:r>
      <w:proofErr w:type="spellEnd"/>
      <w:r w:rsidRPr="001E07EA">
        <w:rPr>
          <w:color w:val="000000" w:themeColor="text1"/>
        </w:rPr>
        <w:t xml:space="preserve"> et al., 1999), formative assessment has been credited for promoting skills that foster life-long learning (</w:t>
      </w:r>
      <w:proofErr w:type="spellStart"/>
      <w:r w:rsidRPr="001E07EA">
        <w:rPr>
          <w:color w:val="000000" w:themeColor="text1"/>
        </w:rPr>
        <w:t>Boud</w:t>
      </w:r>
      <w:proofErr w:type="spellEnd"/>
      <w:r w:rsidRPr="001E07EA">
        <w:rPr>
          <w:color w:val="000000" w:themeColor="text1"/>
        </w:rPr>
        <w:t xml:space="preserve">, 2000; </w:t>
      </w:r>
      <w:proofErr w:type="spellStart"/>
      <w:r w:rsidRPr="001E07EA">
        <w:rPr>
          <w:color w:val="000000" w:themeColor="text1"/>
        </w:rPr>
        <w:t>Boud</w:t>
      </w:r>
      <w:proofErr w:type="spellEnd"/>
      <w:r w:rsidRPr="001E07EA">
        <w:rPr>
          <w:color w:val="000000" w:themeColor="text1"/>
        </w:rPr>
        <w:t xml:space="preserve"> &amp; </w:t>
      </w:r>
      <w:proofErr w:type="spellStart"/>
      <w:r w:rsidRPr="001E07EA">
        <w:rPr>
          <w:color w:val="000000" w:themeColor="text1"/>
        </w:rPr>
        <w:t>Falchikov</w:t>
      </w:r>
      <w:proofErr w:type="spellEnd"/>
      <w:r w:rsidRPr="001E07EA">
        <w:rPr>
          <w:color w:val="000000" w:themeColor="text1"/>
        </w:rPr>
        <w:t>, 2006). Given that summative assessment is still an integral component of tertiary education, and that formative feedback provided by academics is not only minimal but often dismissed by students (</w:t>
      </w:r>
      <w:proofErr w:type="spellStart"/>
      <w:r w:rsidRPr="001E07EA">
        <w:rPr>
          <w:color w:val="000000" w:themeColor="text1"/>
        </w:rPr>
        <w:t>Marcoux</w:t>
      </w:r>
      <w:proofErr w:type="spellEnd"/>
      <w:r w:rsidRPr="001E07EA">
        <w:rPr>
          <w:color w:val="000000" w:themeColor="text1"/>
        </w:rPr>
        <w:t xml:space="preserve">, </w:t>
      </w:r>
      <w:proofErr w:type="spellStart"/>
      <w:r w:rsidRPr="001E07EA">
        <w:rPr>
          <w:color w:val="000000" w:themeColor="text1"/>
        </w:rPr>
        <w:t>Marken</w:t>
      </w:r>
      <w:proofErr w:type="spellEnd"/>
      <w:r w:rsidRPr="001E07EA">
        <w:rPr>
          <w:color w:val="000000" w:themeColor="text1"/>
        </w:rPr>
        <w:t xml:space="preserve"> &amp; Yu, 2012), participation in peer assessment groups may assist students to develop skills necessary for success, both in their current studies and in their future learning. Ultimately, what is sought is a means of assessment that consistently upholds the principles of sustainable assessment, “not only address[</w:t>
      </w:r>
      <w:proofErr w:type="spellStart"/>
      <w:r w:rsidRPr="001E07EA">
        <w:rPr>
          <w:color w:val="000000" w:themeColor="text1"/>
        </w:rPr>
        <w:t>ing</w:t>
      </w:r>
      <w:proofErr w:type="spellEnd"/>
      <w:r w:rsidRPr="001E07EA">
        <w:rPr>
          <w:color w:val="000000" w:themeColor="text1"/>
        </w:rPr>
        <w:t xml:space="preserve">] the immediate needs of certification… but also </w:t>
      </w:r>
      <w:proofErr w:type="spellStart"/>
      <w:r w:rsidRPr="001E07EA">
        <w:rPr>
          <w:color w:val="000000" w:themeColor="text1"/>
        </w:rPr>
        <w:t>contribut</w:t>
      </w:r>
      <w:proofErr w:type="spellEnd"/>
      <w:r w:rsidRPr="001E07EA">
        <w:rPr>
          <w:color w:val="000000" w:themeColor="text1"/>
        </w:rPr>
        <w:t>[</w:t>
      </w:r>
      <w:proofErr w:type="spellStart"/>
      <w:r w:rsidRPr="001E07EA">
        <w:rPr>
          <w:color w:val="000000" w:themeColor="text1"/>
        </w:rPr>
        <w:t>ing</w:t>
      </w:r>
      <w:proofErr w:type="spellEnd"/>
      <w:r w:rsidRPr="001E07EA">
        <w:rPr>
          <w:color w:val="000000" w:themeColor="text1"/>
        </w:rPr>
        <w:t>] in some way to… prospective learning” (</w:t>
      </w:r>
      <w:proofErr w:type="spellStart"/>
      <w:r w:rsidRPr="001E07EA">
        <w:rPr>
          <w:color w:val="000000" w:themeColor="text1"/>
        </w:rPr>
        <w:t>Boud</w:t>
      </w:r>
      <w:proofErr w:type="spellEnd"/>
      <w:r w:rsidRPr="001E07EA">
        <w:rPr>
          <w:color w:val="000000" w:themeColor="text1"/>
        </w:rPr>
        <w:t xml:space="preserve"> &amp; </w:t>
      </w:r>
      <w:proofErr w:type="spellStart"/>
      <w:r w:rsidRPr="001E07EA">
        <w:rPr>
          <w:color w:val="000000" w:themeColor="text1"/>
        </w:rPr>
        <w:t>Falchikov</w:t>
      </w:r>
      <w:proofErr w:type="spellEnd"/>
      <w:r w:rsidRPr="001E07EA">
        <w:rPr>
          <w:color w:val="000000" w:themeColor="text1"/>
        </w:rPr>
        <w:t>, 2009, p. 400).    This study, which will be conducted with selected first year Education students in Semester 2, 2017, will explore the benefits of peer assessment groups.  Previous studies have demonstrated that writing groups significantly boost students’ confidence, as well as their awareness of academic expectations (</w:t>
      </w:r>
      <w:proofErr w:type="spellStart"/>
      <w:r w:rsidRPr="001E07EA">
        <w:rPr>
          <w:color w:val="000000" w:themeColor="text1"/>
        </w:rPr>
        <w:t>Marcoux</w:t>
      </w:r>
      <w:proofErr w:type="spellEnd"/>
      <w:r w:rsidRPr="001E07EA">
        <w:rPr>
          <w:color w:val="000000" w:themeColor="text1"/>
        </w:rPr>
        <w:t xml:space="preserve">, </w:t>
      </w:r>
      <w:proofErr w:type="spellStart"/>
      <w:r w:rsidRPr="001E07EA">
        <w:rPr>
          <w:color w:val="000000" w:themeColor="text1"/>
        </w:rPr>
        <w:t>Marken</w:t>
      </w:r>
      <w:proofErr w:type="spellEnd"/>
      <w:r w:rsidRPr="001E07EA">
        <w:rPr>
          <w:color w:val="000000" w:themeColor="text1"/>
        </w:rPr>
        <w:t xml:space="preserve"> &amp; Yu, 2012).  Research also indicates that peer assessment is a reflective and reflexive process in which students learn about their own writing by critiquing others’ (</w:t>
      </w:r>
      <w:proofErr w:type="spellStart"/>
      <w:r w:rsidRPr="001E07EA">
        <w:rPr>
          <w:color w:val="000000" w:themeColor="text1"/>
        </w:rPr>
        <w:t>Boud</w:t>
      </w:r>
      <w:proofErr w:type="spellEnd"/>
      <w:r w:rsidRPr="001E07EA">
        <w:rPr>
          <w:color w:val="000000" w:themeColor="text1"/>
        </w:rPr>
        <w:t xml:space="preserve"> et al. 1999; </w:t>
      </w:r>
      <w:proofErr w:type="spellStart"/>
      <w:r w:rsidRPr="001E07EA">
        <w:rPr>
          <w:color w:val="000000" w:themeColor="text1"/>
        </w:rPr>
        <w:t>Falchikov</w:t>
      </w:r>
      <w:proofErr w:type="spellEnd"/>
      <w:r w:rsidRPr="001E07EA">
        <w:rPr>
          <w:color w:val="000000" w:themeColor="text1"/>
        </w:rPr>
        <w:t xml:space="preserve">, 2007; </w:t>
      </w:r>
      <w:proofErr w:type="spellStart"/>
      <w:r w:rsidRPr="001E07EA">
        <w:rPr>
          <w:color w:val="000000" w:themeColor="text1"/>
        </w:rPr>
        <w:t>Lui</w:t>
      </w:r>
      <w:proofErr w:type="spellEnd"/>
      <w:r w:rsidRPr="001E07EA">
        <w:rPr>
          <w:color w:val="000000" w:themeColor="text1"/>
        </w:rPr>
        <w:t xml:space="preserve"> &amp; Carless, 2006; Van den Berg, </w:t>
      </w:r>
      <w:proofErr w:type="spellStart"/>
      <w:r w:rsidRPr="001E07EA">
        <w:rPr>
          <w:color w:val="000000" w:themeColor="text1"/>
        </w:rPr>
        <w:t>Admiraal</w:t>
      </w:r>
      <w:proofErr w:type="spellEnd"/>
      <w:r w:rsidRPr="001E07EA">
        <w:rPr>
          <w:color w:val="000000" w:themeColor="text1"/>
        </w:rPr>
        <w:t xml:space="preserve"> &amp; Pilot, 2006).  With this in mind, interested students will be asked to attend a Learning Adviser led writing circle for one hour a week, for the weeks leading up to the submission of their first University assignment.  They will continue to participate in these groups until the submission of their second assignment, at which point their confidence, as well as their ability to write, assess, and self-assess will be qualitatively </w:t>
      </w:r>
      <w:proofErr w:type="spellStart"/>
      <w:r w:rsidRPr="001E07EA">
        <w:rPr>
          <w:color w:val="000000" w:themeColor="text1"/>
        </w:rPr>
        <w:t>analysed</w:t>
      </w:r>
      <w:proofErr w:type="spellEnd"/>
      <w:r w:rsidRPr="001E07EA">
        <w:rPr>
          <w:color w:val="000000" w:themeColor="text1"/>
        </w:rPr>
        <w:t xml:space="preserve"> by way of anonymous participant survey.  This study could contribute to innovations in peer learning by considering the potential contribution of peers to the development of sustainable skills and, subsequently, the relevance of this formative approach to progressive assessment design.</w:t>
      </w:r>
    </w:p>
    <w:p w14:paraId="4DF2D193" w14:textId="77777777" w:rsidR="00173CC1" w:rsidRPr="001E07EA" w:rsidRDefault="00173CC1" w:rsidP="00173CC1">
      <w:pPr>
        <w:pStyle w:val="DefaultLabelStyle"/>
        <w:jc w:val="both"/>
        <w:rPr>
          <w:color w:val="000000" w:themeColor="text1"/>
        </w:rPr>
      </w:pPr>
      <w:r w:rsidRPr="001E07EA">
        <w:rPr>
          <w:color w:val="000000" w:themeColor="text1"/>
        </w:rPr>
        <w:t>References</w:t>
      </w:r>
    </w:p>
    <w:p w14:paraId="0393D7D1" w14:textId="7C4D1A09" w:rsidR="00813C6A" w:rsidRDefault="00173CC1" w:rsidP="00813C6A">
      <w:pPr>
        <w:pStyle w:val="DefaultValueStyle"/>
        <w:jc w:val="both"/>
        <w:rPr>
          <w:color w:val="000000" w:themeColor="text1"/>
        </w:rPr>
      </w:pPr>
      <w:proofErr w:type="spellStart"/>
      <w:r w:rsidRPr="001E07EA">
        <w:rPr>
          <w:color w:val="000000" w:themeColor="text1"/>
        </w:rPr>
        <w:t>Boud</w:t>
      </w:r>
      <w:proofErr w:type="spellEnd"/>
      <w:r w:rsidRPr="001E07EA">
        <w:rPr>
          <w:color w:val="000000" w:themeColor="text1"/>
        </w:rPr>
        <w:t xml:space="preserve">, D. (2000). Sustainable Assessment: rethinking assessment for the learning society. Studies </w:t>
      </w:r>
      <w:proofErr w:type="gramStart"/>
      <w:r w:rsidRPr="001E07EA">
        <w:rPr>
          <w:color w:val="000000" w:themeColor="text1"/>
        </w:rPr>
        <w:t>In</w:t>
      </w:r>
      <w:proofErr w:type="gramEnd"/>
      <w:r w:rsidRPr="001E07EA">
        <w:rPr>
          <w:color w:val="000000" w:themeColor="text1"/>
        </w:rPr>
        <w:t xml:space="preserve"> Continuing Education, 22(2), 151-167. </w:t>
      </w:r>
      <w:hyperlink r:id="rId6" w:history="1">
        <w:r w:rsidR="00813C6A" w:rsidRPr="00600CD8">
          <w:rPr>
            <w:rStyle w:val="Hyperlink"/>
          </w:rPr>
          <w:t>http://doi:10.1080/01580379950177314</w:t>
        </w:r>
      </w:hyperlink>
    </w:p>
    <w:p w14:paraId="0DC318C1" w14:textId="1CBF1AE9" w:rsidR="00813C6A" w:rsidRDefault="00173CC1" w:rsidP="00813C6A">
      <w:pPr>
        <w:pStyle w:val="DefaultValueStyle"/>
        <w:jc w:val="both"/>
        <w:rPr>
          <w:color w:val="000000" w:themeColor="text1"/>
        </w:rPr>
      </w:pPr>
      <w:proofErr w:type="spellStart"/>
      <w:r w:rsidRPr="001E07EA">
        <w:rPr>
          <w:color w:val="000000" w:themeColor="text1"/>
        </w:rPr>
        <w:t>Boud</w:t>
      </w:r>
      <w:proofErr w:type="spellEnd"/>
      <w:r w:rsidRPr="001E07EA">
        <w:rPr>
          <w:color w:val="000000" w:themeColor="text1"/>
        </w:rPr>
        <w:t xml:space="preserve">, D., Cohen, R., &amp; Sampson, J. (1999). Peer Learning and Assessment. Assessment &amp; Evaluation </w:t>
      </w:r>
      <w:proofErr w:type="gramStart"/>
      <w:r w:rsidRPr="001E07EA">
        <w:rPr>
          <w:color w:val="000000" w:themeColor="text1"/>
        </w:rPr>
        <w:t>In</w:t>
      </w:r>
      <w:proofErr w:type="gramEnd"/>
      <w:r w:rsidRPr="001E07EA">
        <w:rPr>
          <w:color w:val="000000" w:themeColor="text1"/>
        </w:rPr>
        <w:t xml:space="preserve"> Higher Education, 24(4), 413-426. </w:t>
      </w:r>
      <w:hyperlink r:id="rId7" w:history="1">
        <w:r w:rsidR="00813C6A" w:rsidRPr="00600CD8">
          <w:rPr>
            <w:rStyle w:val="Hyperlink"/>
          </w:rPr>
          <w:t>http://doi:10.1080/0260293990240405</w:t>
        </w:r>
      </w:hyperlink>
    </w:p>
    <w:p w14:paraId="6A781789" w14:textId="77777777" w:rsidR="00813C6A" w:rsidRDefault="00173CC1" w:rsidP="00813C6A">
      <w:pPr>
        <w:pStyle w:val="DefaultValueStyle"/>
        <w:jc w:val="both"/>
        <w:rPr>
          <w:color w:val="000000" w:themeColor="text1"/>
        </w:rPr>
      </w:pPr>
      <w:proofErr w:type="spellStart"/>
      <w:r w:rsidRPr="001E07EA">
        <w:rPr>
          <w:color w:val="000000" w:themeColor="text1"/>
        </w:rPr>
        <w:t>Boud</w:t>
      </w:r>
      <w:proofErr w:type="spellEnd"/>
      <w:r w:rsidRPr="001E07EA">
        <w:rPr>
          <w:color w:val="000000" w:themeColor="text1"/>
        </w:rPr>
        <w:t xml:space="preserve">, D., &amp; </w:t>
      </w:r>
      <w:proofErr w:type="spellStart"/>
      <w:r w:rsidRPr="001E07EA">
        <w:rPr>
          <w:color w:val="000000" w:themeColor="text1"/>
        </w:rPr>
        <w:t>Falchikov</w:t>
      </w:r>
      <w:proofErr w:type="spellEnd"/>
      <w:r w:rsidRPr="001E07EA">
        <w:rPr>
          <w:color w:val="000000" w:themeColor="text1"/>
        </w:rPr>
        <w:t>, N. (2006). Aligning assessment with long</w:t>
      </w:r>
      <w:r w:rsidRPr="001E07EA">
        <w:rPr>
          <w:rFonts w:ascii="Calibri" w:eastAsia="Calibri" w:hAnsi="Calibri" w:cs="Calibri"/>
          <w:color w:val="000000" w:themeColor="text1"/>
        </w:rPr>
        <w:t>‐</w:t>
      </w:r>
      <w:r w:rsidRPr="001E07EA">
        <w:rPr>
          <w:color w:val="000000" w:themeColor="text1"/>
        </w:rPr>
        <w:t xml:space="preserve">term learning. Assessment &amp; Evaluation </w:t>
      </w:r>
      <w:proofErr w:type="gramStart"/>
      <w:r w:rsidRPr="001E07EA">
        <w:rPr>
          <w:color w:val="000000" w:themeColor="text1"/>
        </w:rPr>
        <w:t>In</w:t>
      </w:r>
      <w:proofErr w:type="gramEnd"/>
      <w:r w:rsidRPr="001E07EA">
        <w:rPr>
          <w:color w:val="000000" w:themeColor="text1"/>
        </w:rPr>
        <w:t xml:space="preserve"> Higher Education, 31(4), 399-413. http://doi:10.1080/02602930600679050  </w:t>
      </w:r>
    </w:p>
    <w:p w14:paraId="3052F056" w14:textId="6B8774E5" w:rsidR="00813C6A" w:rsidRDefault="00173CC1" w:rsidP="00813C6A">
      <w:pPr>
        <w:pStyle w:val="DefaultValueStyle"/>
        <w:jc w:val="both"/>
        <w:rPr>
          <w:color w:val="000000" w:themeColor="text1"/>
        </w:rPr>
      </w:pPr>
      <w:proofErr w:type="spellStart"/>
      <w:r w:rsidRPr="001E07EA">
        <w:rPr>
          <w:color w:val="000000" w:themeColor="text1"/>
        </w:rPr>
        <w:lastRenderedPageBreak/>
        <w:t>Falchikov</w:t>
      </w:r>
      <w:proofErr w:type="spellEnd"/>
      <w:r w:rsidRPr="001E07EA">
        <w:rPr>
          <w:color w:val="000000" w:themeColor="text1"/>
        </w:rPr>
        <w:t xml:space="preserve">, N. (2007). The place of peers in learning and assessment. In N. </w:t>
      </w:r>
      <w:proofErr w:type="spellStart"/>
      <w:r w:rsidRPr="001E07EA">
        <w:rPr>
          <w:color w:val="000000" w:themeColor="text1"/>
        </w:rPr>
        <w:t>Falchikov</w:t>
      </w:r>
      <w:proofErr w:type="spellEnd"/>
      <w:r w:rsidRPr="001E07EA">
        <w:rPr>
          <w:color w:val="000000" w:themeColor="text1"/>
        </w:rPr>
        <w:t xml:space="preserve">, &amp; D. </w:t>
      </w:r>
      <w:proofErr w:type="spellStart"/>
      <w:r w:rsidRPr="001E07EA">
        <w:rPr>
          <w:color w:val="000000" w:themeColor="text1"/>
        </w:rPr>
        <w:t>Boud</w:t>
      </w:r>
      <w:proofErr w:type="spellEnd"/>
      <w:r w:rsidRPr="001E07EA">
        <w:rPr>
          <w:color w:val="000000" w:themeColor="text1"/>
        </w:rPr>
        <w:t xml:space="preserve"> (Eds.), Rethinking assessment in higher education: Learning for the longer term (pp. 128-143). Retrieved from </w:t>
      </w:r>
      <w:hyperlink r:id="rId8" w:history="1">
        <w:r w:rsidR="00813C6A" w:rsidRPr="00600CD8">
          <w:rPr>
            <w:rStyle w:val="Hyperlink"/>
          </w:rPr>
          <w:t>http://ebookcentral.proquest.com.ezproxy.newcastle.edu.au/</w:t>
        </w:r>
      </w:hyperlink>
    </w:p>
    <w:p w14:paraId="288C4CA0" w14:textId="0B70C555" w:rsidR="00813C6A" w:rsidRDefault="00173CC1" w:rsidP="00813C6A">
      <w:pPr>
        <w:pStyle w:val="DefaultValueStyle"/>
        <w:jc w:val="both"/>
        <w:rPr>
          <w:color w:val="000000" w:themeColor="text1"/>
        </w:rPr>
      </w:pPr>
      <w:r w:rsidRPr="001E07EA">
        <w:rPr>
          <w:color w:val="000000" w:themeColor="text1"/>
        </w:rPr>
        <w:t xml:space="preserve">Liu, N., &amp; Carless, D. (2006). Peer feedback: the learning element of peer assessment. Teaching </w:t>
      </w:r>
      <w:proofErr w:type="gramStart"/>
      <w:r w:rsidRPr="001E07EA">
        <w:rPr>
          <w:color w:val="000000" w:themeColor="text1"/>
        </w:rPr>
        <w:t>In</w:t>
      </w:r>
      <w:proofErr w:type="gramEnd"/>
      <w:r w:rsidRPr="001E07EA">
        <w:rPr>
          <w:color w:val="000000" w:themeColor="text1"/>
        </w:rPr>
        <w:t xml:space="preserve"> Higher Education, 11(3), 279-290. </w:t>
      </w:r>
      <w:hyperlink r:id="rId9" w:history="1">
        <w:r w:rsidR="00813C6A" w:rsidRPr="00600CD8">
          <w:rPr>
            <w:rStyle w:val="Hyperlink"/>
          </w:rPr>
          <w:t>http://doi:10.1080/13562510600680582</w:t>
        </w:r>
      </w:hyperlink>
    </w:p>
    <w:p w14:paraId="004F143E" w14:textId="77777777" w:rsidR="00813C6A" w:rsidRDefault="00173CC1" w:rsidP="00813C6A">
      <w:pPr>
        <w:pStyle w:val="DefaultValueStyle"/>
        <w:jc w:val="both"/>
        <w:rPr>
          <w:color w:val="000000" w:themeColor="text1"/>
        </w:rPr>
      </w:pPr>
      <w:proofErr w:type="spellStart"/>
      <w:r w:rsidRPr="001E07EA">
        <w:rPr>
          <w:color w:val="000000" w:themeColor="text1"/>
        </w:rPr>
        <w:t>Marcoux</w:t>
      </w:r>
      <w:proofErr w:type="spellEnd"/>
      <w:r w:rsidRPr="001E07EA">
        <w:rPr>
          <w:color w:val="000000" w:themeColor="text1"/>
        </w:rPr>
        <w:t xml:space="preserve">, S., </w:t>
      </w:r>
      <w:proofErr w:type="spellStart"/>
      <w:r w:rsidRPr="001E07EA">
        <w:rPr>
          <w:color w:val="000000" w:themeColor="text1"/>
        </w:rPr>
        <w:t>Marken</w:t>
      </w:r>
      <w:proofErr w:type="spellEnd"/>
      <w:r w:rsidRPr="001E07EA">
        <w:rPr>
          <w:color w:val="000000" w:themeColor="text1"/>
        </w:rPr>
        <w:t xml:space="preserve">, L., &amp; Yu, S. (2012). Establishing Peer Mentor-Led Writing Groups in Large First-Year Courses. Collected Essays On Learning </w:t>
      </w:r>
      <w:proofErr w:type="gramStart"/>
      <w:r w:rsidRPr="001E07EA">
        <w:rPr>
          <w:color w:val="000000" w:themeColor="text1"/>
        </w:rPr>
        <w:t>And</w:t>
      </w:r>
      <w:proofErr w:type="gramEnd"/>
      <w:r w:rsidRPr="001E07EA">
        <w:rPr>
          <w:color w:val="000000" w:themeColor="text1"/>
        </w:rPr>
        <w:t xml:space="preserve"> Teaching, 5. 55-64. Retrieved from http://www.eric.ed.gov/contentdelivery/servlet/ERICServlet?accno=EJ1058800   </w:t>
      </w:r>
    </w:p>
    <w:p w14:paraId="31E75BF0" w14:textId="34B26F78" w:rsidR="00813C6A" w:rsidRDefault="00173CC1" w:rsidP="00813C6A">
      <w:pPr>
        <w:pStyle w:val="DefaultValueStyle"/>
        <w:jc w:val="both"/>
        <w:rPr>
          <w:color w:val="000000" w:themeColor="text1"/>
        </w:rPr>
      </w:pPr>
      <w:r w:rsidRPr="001E07EA">
        <w:rPr>
          <w:color w:val="000000" w:themeColor="text1"/>
        </w:rPr>
        <w:t xml:space="preserve">Sadler, D.R. (1989). Formative assessment and the design of instructional systems. Instructional Science, 18(2). 19-144. Retrieved from </w:t>
      </w:r>
      <w:hyperlink r:id="rId10" w:history="1">
        <w:r w:rsidR="00813C6A" w:rsidRPr="00600CD8">
          <w:rPr>
            <w:rStyle w:val="Hyperlink"/>
          </w:rPr>
          <w:t>http://www.jstor.org.ezproxy.newcastle.edu.au/stable/23369143</w:t>
        </w:r>
      </w:hyperlink>
    </w:p>
    <w:p w14:paraId="4874F112" w14:textId="77777777" w:rsidR="00813C6A" w:rsidRDefault="00173CC1" w:rsidP="00813C6A">
      <w:pPr>
        <w:pStyle w:val="DefaultValueStyle"/>
        <w:jc w:val="both"/>
        <w:rPr>
          <w:color w:val="000000" w:themeColor="text1"/>
        </w:rPr>
      </w:pPr>
      <w:r w:rsidRPr="001E07EA">
        <w:rPr>
          <w:color w:val="000000" w:themeColor="text1"/>
        </w:rPr>
        <w:t>Topping, K. (1998). Peer Assessment between Students in Colleges and Universities. Review of Educational Research, 68(3). 249-276. Retrieved from http:/</w:t>
      </w:r>
      <w:r w:rsidR="00813C6A">
        <w:rPr>
          <w:color w:val="000000" w:themeColor="text1"/>
        </w:rPr>
        <w:t xml:space="preserve">/www.jstor.org/stable/1170598  </w:t>
      </w:r>
    </w:p>
    <w:p w14:paraId="775EE444" w14:textId="31EC3C3B" w:rsidR="00173CC1" w:rsidRPr="001E07EA" w:rsidRDefault="00813C6A" w:rsidP="00813C6A">
      <w:pPr>
        <w:pStyle w:val="DefaultValueStyle"/>
        <w:jc w:val="both"/>
        <w:rPr>
          <w:color w:val="000000" w:themeColor="text1"/>
        </w:rPr>
      </w:pPr>
      <w:r>
        <w:rPr>
          <w:color w:val="000000" w:themeColor="text1"/>
        </w:rPr>
        <w:t>Van D</w:t>
      </w:r>
      <w:r w:rsidR="00173CC1" w:rsidRPr="001E07EA">
        <w:rPr>
          <w:color w:val="000000" w:themeColor="text1"/>
        </w:rPr>
        <w:t xml:space="preserve">en Berg, I., </w:t>
      </w:r>
      <w:proofErr w:type="spellStart"/>
      <w:r w:rsidR="00173CC1" w:rsidRPr="001E07EA">
        <w:rPr>
          <w:color w:val="000000" w:themeColor="text1"/>
        </w:rPr>
        <w:t>Admiraal</w:t>
      </w:r>
      <w:proofErr w:type="spellEnd"/>
      <w:r w:rsidR="00173CC1" w:rsidRPr="001E07EA">
        <w:rPr>
          <w:color w:val="000000" w:themeColor="text1"/>
        </w:rPr>
        <w:t xml:space="preserve">, W., &amp; Pilot, A. (2006). Design principles and outcomes of peer assessment in higher education. Studies </w:t>
      </w:r>
      <w:proofErr w:type="gramStart"/>
      <w:r w:rsidR="00173CC1" w:rsidRPr="001E07EA">
        <w:rPr>
          <w:color w:val="000000" w:themeColor="text1"/>
        </w:rPr>
        <w:t>In</w:t>
      </w:r>
      <w:proofErr w:type="gramEnd"/>
      <w:r w:rsidR="00173CC1" w:rsidRPr="001E07EA">
        <w:rPr>
          <w:color w:val="000000" w:themeColor="text1"/>
        </w:rPr>
        <w:t xml:space="preserve"> Higher Education, 31(3), 341-356. </w:t>
      </w:r>
      <w:proofErr w:type="spellStart"/>
      <w:r w:rsidR="00173CC1" w:rsidRPr="001E07EA">
        <w:rPr>
          <w:color w:val="000000" w:themeColor="text1"/>
        </w:rPr>
        <w:t>doi</w:t>
      </w:r>
      <w:proofErr w:type="spellEnd"/>
      <w:r w:rsidR="00173CC1" w:rsidRPr="001E07EA">
        <w:rPr>
          <w:color w:val="000000" w:themeColor="text1"/>
        </w:rPr>
        <w:t>: 10.1080/03075070600680836</w:t>
      </w:r>
    </w:p>
    <w:p w14:paraId="445DB1EA" w14:textId="14BFD3D8" w:rsidR="00285676" w:rsidRPr="008F0ED0" w:rsidRDefault="00476835" w:rsidP="008F0ED0"/>
    <w:sectPr w:rsidR="00285676" w:rsidRPr="008F0ED0" w:rsidSect="00813C6A">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75491" w14:textId="77777777" w:rsidR="00476835" w:rsidRDefault="00476835" w:rsidP="00FF6443">
      <w:pPr>
        <w:spacing w:after="0" w:line="240" w:lineRule="auto"/>
      </w:pPr>
      <w:r>
        <w:separator/>
      </w:r>
    </w:p>
  </w:endnote>
  <w:endnote w:type="continuationSeparator" w:id="0">
    <w:p w14:paraId="51858B90" w14:textId="77777777" w:rsidR="00476835" w:rsidRDefault="00476835"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36D48" w14:textId="77777777" w:rsidR="00813C6A" w:rsidRDefault="00813C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8F7A7" w14:textId="77777777" w:rsidR="00813C6A" w:rsidRDefault="00813C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2413" w14:textId="77777777" w:rsidR="00813C6A" w:rsidRDefault="00813C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4294A" w14:textId="77777777" w:rsidR="00476835" w:rsidRDefault="00476835" w:rsidP="00FF6443">
      <w:pPr>
        <w:spacing w:after="0" w:line="240" w:lineRule="auto"/>
      </w:pPr>
      <w:r>
        <w:separator/>
      </w:r>
    </w:p>
  </w:footnote>
  <w:footnote w:type="continuationSeparator" w:id="0">
    <w:p w14:paraId="1040A656" w14:textId="77777777" w:rsidR="00476835" w:rsidRDefault="00476835"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0C15C" w14:textId="77777777" w:rsidR="00813C6A" w:rsidRDefault="00813C6A">
    <w:pPr>
      <w:pStyle w:val="Header"/>
    </w:pPr>
    <w:bookmarkStart w:id="1" w:name="_GoBack"/>
    <w:bookmarkEnd w:id="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593AE" w14:textId="77777777" w:rsidR="00813C6A" w:rsidRDefault="00813C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0305"/>
    <w:rsid w:val="000F74FC"/>
    <w:rsid w:val="00141A47"/>
    <w:rsid w:val="00173CC1"/>
    <w:rsid w:val="001A04CD"/>
    <w:rsid w:val="001E779A"/>
    <w:rsid w:val="00204ED0"/>
    <w:rsid w:val="0021579F"/>
    <w:rsid w:val="002A531F"/>
    <w:rsid w:val="002B3C27"/>
    <w:rsid w:val="002B6679"/>
    <w:rsid w:val="002C0C3A"/>
    <w:rsid w:val="002D6E20"/>
    <w:rsid w:val="002E31CC"/>
    <w:rsid w:val="002F19E5"/>
    <w:rsid w:val="002F6FF6"/>
    <w:rsid w:val="002F78B5"/>
    <w:rsid w:val="00325053"/>
    <w:rsid w:val="0037543A"/>
    <w:rsid w:val="003D0FA8"/>
    <w:rsid w:val="003D35DE"/>
    <w:rsid w:val="003E1E3E"/>
    <w:rsid w:val="00406325"/>
    <w:rsid w:val="00416E9B"/>
    <w:rsid w:val="00426234"/>
    <w:rsid w:val="00431A0C"/>
    <w:rsid w:val="004707B0"/>
    <w:rsid w:val="00476835"/>
    <w:rsid w:val="0048599A"/>
    <w:rsid w:val="004B4BF7"/>
    <w:rsid w:val="004B59AD"/>
    <w:rsid w:val="004E0565"/>
    <w:rsid w:val="004F0816"/>
    <w:rsid w:val="00500381"/>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3C6A"/>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25A7"/>
    <w:rsid w:val="00BC6C13"/>
    <w:rsid w:val="00BE21A9"/>
    <w:rsid w:val="00C13490"/>
    <w:rsid w:val="00C16D5E"/>
    <w:rsid w:val="00C23111"/>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3083"/>
    <w:rsid w:val="00E5480D"/>
    <w:rsid w:val="00E72C9C"/>
    <w:rsid w:val="00E849D7"/>
    <w:rsid w:val="00EF502C"/>
    <w:rsid w:val="00F22ADA"/>
    <w:rsid w:val="00F274EA"/>
    <w:rsid w:val="00F329C6"/>
    <w:rsid w:val="00F447E5"/>
    <w:rsid w:val="00F72BFA"/>
    <w:rsid w:val="00F7558F"/>
    <w:rsid w:val="00F93EC6"/>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doi:10.1080/01580379950177314" TargetMode="External"/><Relationship Id="rId7" Type="http://schemas.openxmlformats.org/officeDocument/2006/relationships/hyperlink" Target="http://doi:10.1080/0260293990240405" TargetMode="External"/><Relationship Id="rId8" Type="http://schemas.openxmlformats.org/officeDocument/2006/relationships/hyperlink" Target="http://ebookcentral.proquest.com.ezproxy.newcastle.edu.au/" TargetMode="External"/><Relationship Id="rId9" Type="http://schemas.openxmlformats.org/officeDocument/2006/relationships/hyperlink" Target="http://doi:10.1080/13562510600680582" TargetMode="External"/><Relationship Id="rId10" Type="http://schemas.openxmlformats.org/officeDocument/2006/relationships/hyperlink" Target="http://www.jstor.org.ezproxy.newcastle.edu.au/stable/2336914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720</Words>
  <Characters>4106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2017-08-07T01:53:00Z</dcterms:created>
  <dcterms:modified xsi:type="dcterms:W3CDTF">2017-08-10T01:10:00Z</dcterms:modified>
</cp:coreProperties>
</file>