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30" w:type="pct"/>
        <w:tblLook w:val="04A0" w:firstRow="1" w:lastRow="0" w:firstColumn="1" w:lastColumn="0" w:noHBand="0" w:noVBand="1"/>
      </w:tblPr>
      <w:tblGrid>
        <w:gridCol w:w="2268"/>
        <w:gridCol w:w="11528"/>
      </w:tblGrid>
      <w:tr w:rsidR="00C459D1" w:rsidRPr="00B408AD" w:rsidTr="008600EE"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10.00 - 11.00am</w:t>
            </w:r>
          </w:p>
        </w:tc>
        <w:tc>
          <w:tcPr>
            <w:tcW w:w="4178" w:type="pct"/>
          </w:tcPr>
          <w:p w:rsidR="00C459D1" w:rsidRPr="00B408AD" w:rsidRDefault="00C459D1" w:rsidP="00C459D1">
            <w:pPr>
              <w:pStyle w:val="ListParagraph"/>
              <w:tabs>
                <w:tab w:val="left" w:pos="1269"/>
              </w:tabs>
              <w:ind w:hanging="585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  <w:szCs w:val="24"/>
              </w:rPr>
              <w:t>Conference Opening</w:t>
            </w:r>
          </w:p>
          <w:p w:rsidR="00C459D1" w:rsidRPr="00B408AD" w:rsidRDefault="00C459D1" w:rsidP="00C459D1">
            <w:pPr>
              <w:pStyle w:val="ListParagraph"/>
              <w:tabs>
                <w:tab w:val="left" w:pos="1269"/>
              </w:tabs>
              <w:ind w:hanging="585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sz w:val="24"/>
                <w:szCs w:val="24"/>
              </w:rPr>
              <w:t>Welcome to Country, Wathaurong Community Member</w:t>
            </w:r>
          </w:p>
          <w:p w:rsidR="00C459D1" w:rsidRPr="00B408AD" w:rsidRDefault="00C459D1" w:rsidP="00EC222A">
            <w:pPr>
              <w:pStyle w:val="ListParagraph"/>
              <w:tabs>
                <w:tab w:val="left" w:pos="1269"/>
              </w:tabs>
              <w:ind w:left="0" w:firstLine="135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sz w:val="24"/>
                <w:szCs w:val="24"/>
              </w:rPr>
              <w:t>Professor Beverly Oliver, Deputy Vice-Chancellor (Education), Deakin University</w:t>
            </w:r>
          </w:p>
        </w:tc>
      </w:tr>
      <w:tr w:rsidR="00C459D1" w:rsidRPr="00B408AD" w:rsidTr="008600EE"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11.00 - 12.00pm</w:t>
            </w:r>
          </w:p>
        </w:tc>
        <w:tc>
          <w:tcPr>
            <w:tcW w:w="4178" w:type="pct"/>
          </w:tcPr>
          <w:p w:rsidR="00C459D1" w:rsidRPr="00B408AD" w:rsidRDefault="00C459D1" w:rsidP="00C459D1">
            <w:pPr>
              <w:pStyle w:val="ListParagraph"/>
              <w:tabs>
                <w:tab w:val="left" w:pos="1269"/>
              </w:tabs>
              <w:ind w:hanging="585"/>
              <w:rPr>
                <w:rFonts w:cstheme="minorHAnsi"/>
                <w:b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  <w:szCs w:val="24"/>
              </w:rPr>
              <w:t>Keynote Speaker</w:t>
            </w:r>
          </w:p>
          <w:p w:rsidR="00C459D1" w:rsidRPr="00B408AD" w:rsidRDefault="00C459D1" w:rsidP="00C459D1">
            <w:pPr>
              <w:pStyle w:val="ListParagraph"/>
              <w:tabs>
                <w:tab w:val="left" w:pos="1269"/>
              </w:tabs>
              <w:ind w:hanging="585"/>
              <w:rPr>
                <w:rFonts w:cstheme="minorHAnsi"/>
              </w:rPr>
            </w:pPr>
            <w:r w:rsidRPr="00B408AD">
              <w:rPr>
                <w:rFonts w:eastAsia="Times New Roman" w:cstheme="minorHAnsi"/>
                <w:sz w:val="24"/>
                <w:szCs w:val="24"/>
              </w:rPr>
              <w:t>Ursula Wingate, Senior Lecturer Language Education, Kings College London</w:t>
            </w:r>
          </w:p>
        </w:tc>
      </w:tr>
      <w:tr w:rsidR="00C459D1" w:rsidRPr="00B408AD" w:rsidTr="00EC222A">
        <w:trPr>
          <w:trHeight w:val="567"/>
        </w:trPr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12.00 - 1.00pm</w:t>
            </w:r>
          </w:p>
        </w:tc>
        <w:tc>
          <w:tcPr>
            <w:tcW w:w="4178" w:type="pct"/>
            <w:shd w:val="clear" w:color="auto" w:fill="DBDBDB" w:themeFill="accent3" w:themeFillTint="66"/>
            <w:vAlign w:val="center"/>
          </w:tcPr>
          <w:p w:rsidR="00C459D1" w:rsidRPr="00B408AD" w:rsidRDefault="008600EE" w:rsidP="00EC222A">
            <w:pPr>
              <w:pStyle w:val="ListParagraph"/>
              <w:ind w:left="26" w:hanging="26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408AD">
              <w:rPr>
                <w:rFonts w:cstheme="minorHAnsi"/>
                <w:b/>
                <w:sz w:val="32"/>
                <w:szCs w:val="32"/>
              </w:rPr>
              <w:t>BREAK</w:t>
            </w:r>
          </w:p>
        </w:tc>
      </w:tr>
      <w:tr w:rsidR="00083755" w:rsidRPr="00B408AD" w:rsidTr="008600EE">
        <w:trPr>
          <w:trHeight w:val="567"/>
        </w:trPr>
        <w:tc>
          <w:tcPr>
            <w:tcW w:w="822" w:type="pct"/>
            <w:shd w:val="clear" w:color="auto" w:fill="auto"/>
          </w:tcPr>
          <w:p w:rsidR="00083755" w:rsidRPr="00B408AD" w:rsidRDefault="00083755" w:rsidP="008600EE">
            <w:pPr>
              <w:rPr>
                <w:b/>
                <w:sz w:val="24"/>
              </w:rPr>
            </w:pPr>
            <w:r w:rsidRPr="00B408AD">
              <w:rPr>
                <w:b/>
                <w:sz w:val="24"/>
              </w:rPr>
              <w:t xml:space="preserve">1.00-3.00 </w:t>
            </w:r>
          </w:p>
        </w:tc>
        <w:tc>
          <w:tcPr>
            <w:tcW w:w="4178" w:type="pct"/>
            <w:shd w:val="clear" w:color="auto" w:fill="auto"/>
          </w:tcPr>
          <w:p w:rsidR="00083755" w:rsidRPr="00B408AD" w:rsidRDefault="008600EE" w:rsidP="008600EE">
            <w:pPr>
              <w:rPr>
                <w:rFonts w:cstheme="minorHAnsi"/>
                <w:b/>
                <w:sz w:val="24"/>
              </w:rPr>
            </w:pPr>
            <w:r w:rsidRPr="00B408AD">
              <w:rPr>
                <w:rFonts w:cstheme="minorHAnsi"/>
                <w:b/>
                <w:sz w:val="24"/>
              </w:rPr>
              <w:t>Changing Identities in ALL</w:t>
            </w:r>
          </w:p>
        </w:tc>
      </w:tr>
      <w:tr w:rsidR="00C459D1" w:rsidRPr="00B408AD" w:rsidTr="008600EE"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1.00 - 1.30pm</w:t>
            </w:r>
          </w:p>
        </w:tc>
        <w:tc>
          <w:tcPr>
            <w:tcW w:w="4178" w:type="pct"/>
          </w:tcPr>
          <w:p w:rsidR="00C459D1" w:rsidRPr="00B408AD" w:rsidRDefault="00C459D1" w:rsidP="00C459D1">
            <w:pPr>
              <w:pStyle w:val="DefaultHeadingStyle"/>
              <w:keepNext/>
              <w:keepLines/>
              <w:tabs>
                <w:tab w:val="left" w:pos="0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Academic Language and Learning (ALL) in Australia: origins, purposes, and destinations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Carolyn Malkin, Victoria University</w:t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br/>
              <w:t xml:space="preserve">Kate </w:t>
            </w:r>
            <w:proofErr w:type="spellStart"/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Chanock</w:t>
            </w:r>
            <w:proofErr w:type="spellEnd"/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, La Trobe University</w:t>
            </w:r>
          </w:p>
        </w:tc>
      </w:tr>
      <w:tr w:rsidR="00C459D1" w:rsidRPr="00B408AD" w:rsidTr="008600EE"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1.30 - 2.00pm</w:t>
            </w:r>
          </w:p>
        </w:tc>
        <w:tc>
          <w:tcPr>
            <w:tcW w:w="4178" w:type="pct"/>
          </w:tcPr>
          <w:p w:rsidR="00C459D1" w:rsidRPr="00B408AD" w:rsidRDefault="00C459D1" w:rsidP="00C459D1">
            <w:pPr>
              <w:pStyle w:val="DefaultHeadingStyle"/>
              <w:keepNext/>
              <w:keepLines/>
              <w:tabs>
                <w:tab w:val="left" w:pos="0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All identity: minimum professional requirements, training and pedagogy for academic skills advisors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Simon Evans, Sally Ashton Hay, Southern Cross University</w:t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br/>
              <w:t>Ariana Henderson, University of Melbourne</w:t>
            </w:r>
          </w:p>
        </w:tc>
      </w:tr>
      <w:tr w:rsidR="00C459D1" w:rsidRPr="00B408AD" w:rsidTr="008600EE"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2.00 - 2.30pm</w:t>
            </w:r>
          </w:p>
        </w:tc>
        <w:tc>
          <w:tcPr>
            <w:tcW w:w="4178" w:type="pct"/>
          </w:tcPr>
          <w:p w:rsidR="00C459D1" w:rsidRPr="00B408AD" w:rsidRDefault="00C459D1" w:rsidP="00EC222A">
            <w:pPr>
              <w:pStyle w:val="DefaultHeadingStyle"/>
              <w:keepNext/>
              <w:keepLines/>
              <w:tabs>
                <w:tab w:val="left" w:pos="0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The otherness of writing in the engineering curriculum: a practice architectures perspective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>Rosalie Goldsmith, University of Technology Sydney</w:t>
            </w:r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br/>
              <w:t>Keith Willey, University of Sydney</w:t>
            </w:r>
          </w:p>
        </w:tc>
      </w:tr>
      <w:tr w:rsidR="00C459D1" w:rsidRPr="00B408AD" w:rsidTr="008600EE"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2.30 - 3.00pm</w:t>
            </w:r>
          </w:p>
        </w:tc>
        <w:tc>
          <w:tcPr>
            <w:tcW w:w="4178" w:type="pct"/>
          </w:tcPr>
          <w:p w:rsidR="00C459D1" w:rsidRPr="00B408AD" w:rsidRDefault="00C459D1" w:rsidP="00C459D1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Caught between traditions? Three framings for ALL practice and the neoliberal university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 xml:space="preserve">Tao </w:t>
            </w:r>
            <w:proofErr w:type="spellStart"/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Bak</w:t>
            </w:r>
            <w:proofErr w:type="spellEnd"/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, Victoria University</w:t>
            </w:r>
          </w:p>
        </w:tc>
      </w:tr>
      <w:tr w:rsidR="00C459D1" w:rsidRPr="00B408AD" w:rsidTr="008600EE">
        <w:trPr>
          <w:trHeight w:val="567"/>
        </w:trPr>
        <w:tc>
          <w:tcPr>
            <w:tcW w:w="822" w:type="pct"/>
          </w:tcPr>
          <w:p w:rsidR="00C459D1" w:rsidRPr="00B408AD" w:rsidRDefault="00C459D1" w:rsidP="008600EE">
            <w:pPr>
              <w:rPr>
                <w:b/>
              </w:rPr>
            </w:pPr>
            <w:r w:rsidRPr="00B408AD">
              <w:rPr>
                <w:b/>
              </w:rPr>
              <w:t>3.00 – 3.30pm</w:t>
            </w:r>
          </w:p>
        </w:tc>
        <w:tc>
          <w:tcPr>
            <w:tcW w:w="4178" w:type="pct"/>
            <w:shd w:val="clear" w:color="auto" w:fill="DBDBDB" w:themeFill="accent3" w:themeFillTint="66"/>
            <w:vAlign w:val="center"/>
          </w:tcPr>
          <w:p w:rsidR="00C459D1" w:rsidRPr="00B408AD" w:rsidRDefault="008600EE" w:rsidP="00C459D1">
            <w:pPr>
              <w:pStyle w:val="ListParagraph"/>
              <w:jc w:val="center"/>
              <w:rPr>
                <w:rFonts w:cstheme="minorHAnsi"/>
              </w:rPr>
            </w:pPr>
            <w:r w:rsidRPr="00B408AD">
              <w:rPr>
                <w:rFonts w:cstheme="minorHAnsi"/>
                <w:b/>
                <w:sz w:val="32"/>
                <w:szCs w:val="32"/>
              </w:rPr>
              <w:t>BREAK</w:t>
            </w:r>
          </w:p>
        </w:tc>
      </w:tr>
      <w:tr w:rsidR="00083755" w:rsidRPr="00B408AD" w:rsidTr="008600EE">
        <w:trPr>
          <w:trHeight w:val="567"/>
        </w:trPr>
        <w:tc>
          <w:tcPr>
            <w:tcW w:w="822" w:type="pct"/>
            <w:shd w:val="clear" w:color="auto" w:fill="auto"/>
          </w:tcPr>
          <w:p w:rsidR="00083755" w:rsidRPr="00B408AD" w:rsidRDefault="00083755" w:rsidP="00BE3F09">
            <w:pPr>
              <w:pStyle w:val="ListParagraph"/>
              <w:ind w:left="420"/>
            </w:pPr>
          </w:p>
        </w:tc>
        <w:tc>
          <w:tcPr>
            <w:tcW w:w="4178" w:type="pct"/>
            <w:shd w:val="clear" w:color="auto" w:fill="auto"/>
          </w:tcPr>
          <w:p w:rsidR="00083755" w:rsidRPr="00B408AD" w:rsidRDefault="00083755" w:rsidP="008600EE">
            <w:pPr>
              <w:rPr>
                <w:rFonts w:cstheme="minorHAnsi"/>
                <w:b/>
                <w:sz w:val="24"/>
              </w:rPr>
            </w:pPr>
            <w:r w:rsidRPr="00B408AD">
              <w:rPr>
                <w:rFonts w:cstheme="minorHAnsi"/>
                <w:b/>
                <w:sz w:val="24"/>
              </w:rPr>
              <w:t>Research an</w:t>
            </w:r>
            <w:r w:rsidR="008600EE" w:rsidRPr="00B408AD">
              <w:rPr>
                <w:rFonts w:cstheme="minorHAnsi"/>
                <w:b/>
                <w:sz w:val="24"/>
              </w:rPr>
              <w:t>d Evaluation On campus &amp; online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420" w:hanging="392"/>
              <w:jc w:val="both"/>
            </w:pPr>
            <w:r w:rsidRPr="00B408AD">
              <w:lastRenderedPageBreak/>
              <w:t>3.30 – 4.00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ind w:right="136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Knowledge building made clear: aligning academic language learning and content in pre-service teacher education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Sarah Dowden-Parker &amp; Roz Rowan, Charles Darwin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420" w:hanging="392"/>
              <w:jc w:val="both"/>
            </w:pPr>
            <w:r w:rsidRPr="00B408AD">
              <w:t>4.00 – 4.30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ind w:right="136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 xml:space="preserve">The proof of the pudding … </w:t>
            </w:r>
            <w:proofErr w:type="spellStart"/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analysing</w:t>
            </w:r>
            <w:proofErr w:type="spellEnd"/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 xml:space="preserve"> student written texts for evidence of a successful literacy intervention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 xml:space="preserve">Linda Devereux, Kate Wilson &amp; Maya </w:t>
            </w:r>
            <w:proofErr w:type="spellStart"/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>Gunawardena</w:t>
            </w:r>
            <w:proofErr w:type="spellEnd"/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 xml:space="preserve">, Australian </w:t>
            </w:r>
            <w:proofErr w:type="spellStart"/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>Defence</w:t>
            </w:r>
            <w:proofErr w:type="spellEnd"/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 xml:space="preserve"> Force Australia </w:t>
            </w:r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br/>
              <w:t>Anne Kiley, University of Canberra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420" w:hanging="392"/>
              <w:jc w:val="both"/>
            </w:pPr>
            <w:r w:rsidRPr="00B408AD">
              <w:t>4.30 – 5.00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ind w:right="136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Survival of the Fittest: Lessons for program evaluation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 xml:space="preserve">Reva </w:t>
            </w:r>
            <w:proofErr w:type="spellStart"/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Rmiah</w:t>
            </w:r>
            <w:proofErr w:type="spellEnd"/>
            <w:r w:rsidRPr="00B408AD">
              <w:rPr>
                <w:rFonts w:asciiTheme="minorHAnsi" w:hAnsiTheme="minorHAnsi" w:cstheme="minorHAnsi"/>
                <w:i/>
                <w:color w:val="auto"/>
                <w:szCs w:val="20"/>
              </w:rPr>
              <w:t>, Curtin University</w:t>
            </w:r>
          </w:p>
        </w:tc>
      </w:tr>
      <w:tr w:rsidR="00083755" w:rsidRPr="00B408AD" w:rsidTr="008600EE">
        <w:trPr>
          <w:trHeight w:val="567"/>
        </w:trPr>
        <w:tc>
          <w:tcPr>
            <w:tcW w:w="822" w:type="pct"/>
            <w:shd w:val="clear" w:color="auto" w:fill="auto"/>
          </w:tcPr>
          <w:p w:rsidR="00083755" w:rsidRPr="006752FD" w:rsidRDefault="00083755" w:rsidP="008600EE">
            <w:pPr>
              <w:pStyle w:val="ListParagraph"/>
              <w:ind w:left="420" w:hanging="392"/>
              <w:jc w:val="both"/>
              <w:rPr>
                <w:b/>
              </w:rPr>
            </w:pPr>
            <w:r w:rsidRPr="006752FD">
              <w:rPr>
                <w:b/>
              </w:rPr>
              <w:t xml:space="preserve">DAY 2 </w:t>
            </w:r>
          </w:p>
        </w:tc>
        <w:tc>
          <w:tcPr>
            <w:tcW w:w="4178" w:type="pct"/>
            <w:shd w:val="clear" w:color="auto" w:fill="auto"/>
          </w:tcPr>
          <w:p w:rsidR="00083755" w:rsidRPr="00B408AD" w:rsidRDefault="00083755" w:rsidP="008600EE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B408AD">
              <w:rPr>
                <w:rFonts w:asciiTheme="minorHAnsi" w:hAnsiTheme="minorHAnsi" w:cstheme="minorHAnsi"/>
                <w:b/>
              </w:rPr>
              <w:t xml:space="preserve">Digitalising ALL practices </w:t>
            </w:r>
            <w:r w:rsidRPr="00B408AD">
              <w:rPr>
                <w:rFonts w:asciiTheme="minorHAnsi" w:hAnsiTheme="minorHAnsi"/>
                <w:b/>
              </w:rPr>
              <w:t>On campus and Online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420" w:hanging="392"/>
              <w:jc w:val="both"/>
            </w:pPr>
            <w:r w:rsidRPr="00B408AD">
              <w:t>9.30 – 10.00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Improving staff capacity to support student learning in the digital age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</w:rPr>
              <w:t xml:space="preserve">Rosy Borland &amp; Sonia Wilkie, Victoria University </w:t>
            </w:r>
          </w:p>
        </w:tc>
      </w:tr>
      <w:tr w:rsidR="008600EE" w:rsidRPr="00B408AD" w:rsidTr="008600EE">
        <w:trPr>
          <w:trHeight w:val="814"/>
        </w:trPr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420" w:hanging="392"/>
              <w:jc w:val="both"/>
            </w:pPr>
            <w:r w:rsidRPr="00B408AD">
              <w:t>10.00 – 10.30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LANTITE: A Driver for Innovative Literacy and Numeracy Practices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</w:rPr>
              <w:t xml:space="preserve">Margaret Bardon, Trevor </w:t>
            </w:r>
            <w:proofErr w:type="spellStart"/>
            <w:r w:rsidRPr="00B408AD">
              <w:rPr>
                <w:rFonts w:asciiTheme="minorHAnsi" w:hAnsiTheme="minorHAnsi" w:cstheme="minorHAnsi"/>
                <w:i/>
                <w:color w:val="auto"/>
              </w:rPr>
              <w:t>Lanna</w:t>
            </w:r>
            <w:proofErr w:type="spellEnd"/>
            <w:r w:rsidRPr="00B408AD">
              <w:rPr>
                <w:rFonts w:asciiTheme="minorHAnsi" w:hAnsiTheme="minorHAnsi" w:cstheme="minorHAnsi"/>
                <w:i/>
                <w:color w:val="auto"/>
              </w:rPr>
              <w:t>, Alice Lee,  Kate Nolan, Katia Salem &amp; Laurent Seibert, Australian Catholic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420" w:hanging="392"/>
              <w:jc w:val="both"/>
            </w:pPr>
            <w:r w:rsidRPr="00B408AD">
              <w:t>10.30 – 11.00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i/>
                <w:color w:val="auto"/>
              </w:rPr>
            </w:pPr>
            <w:r w:rsidRPr="00B408AD">
              <w:rPr>
                <w:rFonts w:asciiTheme="minorHAnsi" w:hAnsiTheme="minorHAnsi"/>
                <w:bCs/>
                <w:i/>
                <w:color w:val="auto"/>
              </w:rPr>
              <w:t>More than ticking boxes: digital learning as a meaningful solution to policy and procedure</w:t>
            </w:r>
            <w:r w:rsidRPr="00B408AD">
              <w:rPr>
                <w:rFonts w:asciiTheme="minorHAnsi" w:hAnsiTheme="minorHAnsi"/>
                <w:bCs/>
                <w:i/>
                <w:color w:val="auto"/>
              </w:rPr>
              <w:br/>
              <w:t>Vanessa Todd &amp; Tessa Green, Macquarie University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</w:tcPr>
          <w:p w:rsidR="00083755" w:rsidRPr="00B408AD" w:rsidRDefault="00083755" w:rsidP="008600EE">
            <w:pPr>
              <w:pStyle w:val="ListParagraph"/>
              <w:ind w:left="420" w:hanging="392"/>
              <w:jc w:val="both"/>
            </w:pPr>
            <w:r w:rsidRPr="00B408AD">
              <w:t>11.00 – 11.30</w:t>
            </w:r>
          </w:p>
        </w:tc>
        <w:tc>
          <w:tcPr>
            <w:tcW w:w="4178" w:type="pct"/>
            <w:shd w:val="clear" w:color="auto" w:fill="C9C9C9" w:themeFill="accent3" w:themeFillTint="99"/>
            <w:vAlign w:val="center"/>
          </w:tcPr>
          <w:p w:rsidR="00083755" w:rsidRPr="00B408AD" w:rsidRDefault="008600EE" w:rsidP="00EC222A">
            <w:pPr>
              <w:jc w:val="center"/>
              <w:rPr>
                <w:bCs/>
                <w:sz w:val="20"/>
                <w:szCs w:val="20"/>
              </w:rPr>
            </w:pPr>
            <w:r w:rsidRPr="00B408AD">
              <w:rPr>
                <w:rFonts w:cstheme="minorHAnsi"/>
                <w:b/>
                <w:sz w:val="32"/>
                <w:szCs w:val="32"/>
              </w:rPr>
              <w:t>BREAK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jc w:val="both"/>
            </w:pPr>
            <w:r w:rsidRPr="00B408AD">
              <w:t xml:space="preserve">11.30 – 12.30 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ListParagraph"/>
              <w:tabs>
                <w:tab w:val="left" w:pos="1269"/>
              </w:tabs>
              <w:ind w:hanging="689"/>
              <w:rPr>
                <w:rFonts w:cstheme="minorHAnsi"/>
                <w:b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  <w:szCs w:val="24"/>
              </w:rPr>
              <w:t>Plenary</w:t>
            </w:r>
          </w:p>
          <w:p w:rsidR="008600EE" w:rsidRPr="00B408AD" w:rsidRDefault="008600EE" w:rsidP="008600EE">
            <w:pPr>
              <w:pStyle w:val="ListParagraph"/>
              <w:tabs>
                <w:tab w:val="left" w:pos="1269"/>
              </w:tabs>
              <w:ind w:hanging="689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sz w:val="24"/>
                <w:szCs w:val="24"/>
              </w:rPr>
              <w:t>21st Century Universities – what role for AALL?</w:t>
            </w:r>
          </w:p>
          <w:p w:rsidR="008600EE" w:rsidRPr="00B408AD" w:rsidRDefault="008600EE" w:rsidP="008600EE">
            <w:pPr>
              <w:pStyle w:val="ListParagraph"/>
              <w:tabs>
                <w:tab w:val="left" w:pos="1269"/>
              </w:tabs>
              <w:ind w:hanging="689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sz w:val="24"/>
                <w:szCs w:val="24"/>
              </w:rPr>
              <w:t xml:space="preserve">Lucy Schultz, Director Cloud Campus, Deakin University </w:t>
            </w:r>
          </w:p>
          <w:p w:rsidR="008600EE" w:rsidRPr="00B408AD" w:rsidRDefault="008600EE" w:rsidP="00EC222A">
            <w:pPr>
              <w:pStyle w:val="ListParagraph"/>
              <w:tabs>
                <w:tab w:val="left" w:pos="1269"/>
              </w:tabs>
              <w:ind w:hanging="689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sz w:val="24"/>
                <w:szCs w:val="24"/>
              </w:rPr>
              <w:t xml:space="preserve">Ian </w:t>
            </w:r>
            <w:proofErr w:type="spellStart"/>
            <w:r w:rsidRPr="00B408AD">
              <w:rPr>
                <w:rFonts w:cstheme="minorHAnsi"/>
                <w:sz w:val="24"/>
                <w:szCs w:val="24"/>
              </w:rPr>
              <w:t>Solomonides</w:t>
            </w:r>
            <w:proofErr w:type="spellEnd"/>
            <w:r w:rsidRPr="00B408AD">
              <w:rPr>
                <w:rFonts w:cstheme="minorHAnsi"/>
                <w:sz w:val="24"/>
                <w:szCs w:val="24"/>
              </w:rPr>
              <w:t>, Pro Vice-Chancellor, Learning Innovation and Quality, Victoria University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</w:tcPr>
          <w:p w:rsidR="00083755" w:rsidRPr="00B408AD" w:rsidRDefault="00083755" w:rsidP="008600EE">
            <w:pPr>
              <w:ind w:firstLine="28"/>
              <w:jc w:val="both"/>
            </w:pPr>
            <w:r w:rsidRPr="00B408AD">
              <w:t xml:space="preserve">12.30 – 1.30 </w:t>
            </w:r>
          </w:p>
        </w:tc>
        <w:tc>
          <w:tcPr>
            <w:tcW w:w="4178" w:type="pct"/>
            <w:shd w:val="clear" w:color="auto" w:fill="C9C9C9" w:themeFill="accent3" w:themeFillTint="99"/>
            <w:vAlign w:val="center"/>
          </w:tcPr>
          <w:p w:rsidR="00083755" w:rsidRPr="00B408AD" w:rsidRDefault="008600EE" w:rsidP="00EC222A">
            <w:pPr>
              <w:jc w:val="center"/>
              <w:rPr>
                <w:sz w:val="32"/>
                <w:szCs w:val="24"/>
              </w:rPr>
            </w:pPr>
            <w:r w:rsidRPr="00B408AD">
              <w:rPr>
                <w:rFonts w:cstheme="minorHAnsi"/>
                <w:b/>
                <w:sz w:val="32"/>
                <w:szCs w:val="32"/>
              </w:rPr>
              <w:t>BREAK</w:t>
            </w:r>
          </w:p>
        </w:tc>
      </w:tr>
      <w:tr w:rsidR="00083755" w:rsidRPr="00B408AD" w:rsidTr="008600EE">
        <w:tc>
          <w:tcPr>
            <w:tcW w:w="822" w:type="pct"/>
          </w:tcPr>
          <w:p w:rsidR="00083755" w:rsidRPr="00B408AD" w:rsidRDefault="00083755" w:rsidP="008600EE">
            <w:pPr>
              <w:ind w:firstLine="28"/>
              <w:jc w:val="both"/>
            </w:pPr>
            <w:r w:rsidRPr="00B408AD">
              <w:t>1.30 – 2.30</w:t>
            </w:r>
          </w:p>
        </w:tc>
        <w:tc>
          <w:tcPr>
            <w:tcW w:w="4178" w:type="pct"/>
          </w:tcPr>
          <w:p w:rsidR="00083755" w:rsidRPr="00B408AD" w:rsidRDefault="00083755" w:rsidP="008600EE">
            <w:pPr>
              <w:pStyle w:val="ListParagraph"/>
              <w:ind w:left="36"/>
              <w:rPr>
                <w:rFonts w:cstheme="minorHAnsi"/>
                <w:b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  <w:szCs w:val="24"/>
              </w:rPr>
              <w:t>OLT academic integrity project</w:t>
            </w:r>
          </w:p>
          <w:p w:rsidR="008600EE" w:rsidRPr="00B408AD" w:rsidRDefault="00083755" w:rsidP="00EC222A">
            <w:pPr>
              <w:pStyle w:val="ListParagraph"/>
              <w:ind w:left="36"/>
              <w:rPr>
                <w:rFonts w:cstheme="minorHAnsi"/>
                <w:sz w:val="24"/>
                <w:szCs w:val="24"/>
              </w:rPr>
            </w:pPr>
            <w:r w:rsidRPr="00B408AD">
              <w:rPr>
                <w:rFonts w:cstheme="minorHAnsi"/>
                <w:sz w:val="24"/>
                <w:szCs w:val="24"/>
              </w:rPr>
              <w:t>Rowena Harper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  <w:shd w:val="clear" w:color="auto" w:fill="auto"/>
          </w:tcPr>
          <w:p w:rsidR="00083755" w:rsidRPr="00B408AD" w:rsidRDefault="00083755" w:rsidP="00BE3F09">
            <w:pPr>
              <w:pStyle w:val="ListParagraph"/>
              <w:ind w:left="420"/>
            </w:pPr>
          </w:p>
        </w:tc>
        <w:tc>
          <w:tcPr>
            <w:tcW w:w="4178" w:type="pct"/>
            <w:shd w:val="clear" w:color="auto" w:fill="auto"/>
          </w:tcPr>
          <w:p w:rsidR="00083755" w:rsidRPr="00B408AD" w:rsidRDefault="00083755" w:rsidP="00EC222A">
            <w:pPr>
              <w:pStyle w:val="NormalWeb"/>
              <w:rPr>
                <w:rFonts w:asciiTheme="minorHAnsi" w:eastAsia="Times New Roman" w:hAnsiTheme="minorHAnsi" w:cstheme="minorHAnsi"/>
              </w:rPr>
            </w:pPr>
            <w:r w:rsidRPr="00B408AD">
              <w:rPr>
                <w:rFonts w:asciiTheme="minorHAnsi" w:hAnsiTheme="minorHAnsi" w:cstheme="minorHAnsi"/>
                <w:b/>
              </w:rPr>
              <w:t>ALL for diversity and inclusivity</w:t>
            </w:r>
            <w:r w:rsidRPr="00B408AD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083755" w:rsidRPr="00B408AD" w:rsidTr="008600EE">
        <w:tc>
          <w:tcPr>
            <w:tcW w:w="822" w:type="pct"/>
          </w:tcPr>
          <w:p w:rsidR="00083755" w:rsidRPr="00B408AD" w:rsidRDefault="00083755" w:rsidP="008600EE">
            <w:pPr>
              <w:pStyle w:val="ListParagraph"/>
              <w:ind w:left="170"/>
              <w:jc w:val="both"/>
            </w:pPr>
            <w:r w:rsidRPr="00B408AD">
              <w:lastRenderedPageBreak/>
              <w:t xml:space="preserve">2.30 – 3.00 </w:t>
            </w:r>
          </w:p>
        </w:tc>
        <w:tc>
          <w:tcPr>
            <w:tcW w:w="4178" w:type="pct"/>
          </w:tcPr>
          <w:p w:rsidR="00083755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Learning at the Threshold: WAC Practices for Inclusive Education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  <w:szCs w:val="20"/>
              </w:rPr>
              <w:t>Melissa Bender, University of California Davis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</w:tcPr>
          <w:p w:rsidR="00083755" w:rsidRPr="00B408AD" w:rsidRDefault="00083755" w:rsidP="008600EE">
            <w:pPr>
              <w:pStyle w:val="ListParagraph"/>
              <w:ind w:left="170"/>
              <w:jc w:val="both"/>
            </w:pPr>
            <w:r w:rsidRPr="00B408AD">
              <w:t>3.00 – 3.30</w:t>
            </w:r>
          </w:p>
        </w:tc>
        <w:tc>
          <w:tcPr>
            <w:tcW w:w="4178" w:type="pct"/>
            <w:shd w:val="clear" w:color="auto" w:fill="C9C9C9" w:themeFill="accent3" w:themeFillTint="99"/>
            <w:vAlign w:val="center"/>
          </w:tcPr>
          <w:p w:rsidR="00083755" w:rsidRPr="00B408AD" w:rsidRDefault="008600EE" w:rsidP="00EC222A">
            <w:pPr>
              <w:jc w:val="center"/>
              <w:rPr>
                <w:bCs/>
                <w:sz w:val="20"/>
                <w:szCs w:val="20"/>
              </w:rPr>
            </w:pPr>
            <w:r w:rsidRPr="00B408AD">
              <w:rPr>
                <w:rFonts w:cstheme="minorHAnsi"/>
                <w:b/>
                <w:sz w:val="32"/>
                <w:szCs w:val="32"/>
              </w:rPr>
              <w:t>BREAK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3.30 – 4.00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spacing w:before="100" w:beforeAutospacing="1" w:after="100" w:afterAutospacing="1"/>
              <w:rPr>
                <w:bCs/>
                <w:szCs w:val="20"/>
              </w:rPr>
            </w:pPr>
            <w:r w:rsidRPr="00B408AD">
              <w:rPr>
                <w:bCs/>
                <w:szCs w:val="20"/>
              </w:rPr>
              <w:t>Find your place in LACE: CQ</w:t>
            </w:r>
            <w:r w:rsidR="00EC222A" w:rsidRPr="00B408AD">
              <w:rPr>
                <w:bCs/>
                <w:szCs w:val="20"/>
              </w:rPr>
              <w:t xml:space="preserve"> </w:t>
            </w:r>
            <w:r w:rsidRPr="00B408AD">
              <w:rPr>
                <w:bCs/>
                <w:szCs w:val="20"/>
              </w:rPr>
              <w:t>University’s Language and Cultural Exchange project for refugees, asylum seekers and recent migrants</w:t>
            </w:r>
            <w:r w:rsidRPr="00B408AD">
              <w:rPr>
                <w:bCs/>
                <w:szCs w:val="20"/>
              </w:rPr>
              <w:br/>
            </w:r>
            <w:r w:rsidRPr="00B408AD">
              <w:rPr>
                <w:bCs/>
                <w:i/>
                <w:szCs w:val="20"/>
              </w:rPr>
              <w:t>Ruth O’Neill, CQ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4.00 – 4.30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The Student at Risk Checklist: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 w:rsidRPr="00B408AD">
              <w:rPr>
                <w:rFonts w:asciiTheme="minorHAnsi" w:eastAsia="Times New Roman" w:hAnsiTheme="minorHAnsi" w:cstheme="minorHAnsi"/>
                <w:i/>
                <w:color w:val="auto"/>
                <w:szCs w:val="20"/>
              </w:rPr>
              <w:t>Belinda Bold, RMIT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4.30 – 5.00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Meeting students’ needs: learning and teaching design targeting student transition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proofErr w:type="spellStart"/>
            <w:r w:rsidRPr="00B408AD">
              <w:rPr>
                <w:rFonts w:asciiTheme="minorHAnsi" w:eastAsia="Times New Roman" w:hAnsiTheme="minorHAnsi" w:cstheme="minorHAnsi"/>
                <w:i/>
                <w:color w:val="auto"/>
                <w:szCs w:val="20"/>
              </w:rPr>
              <w:t>Neela</w:t>
            </w:r>
            <w:proofErr w:type="spellEnd"/>
            <w:r w:rsidRPr="00B408AD">
              <w:rPr>
                <w:rFonts w:asciiTheme="minorHAnsi" w:eastAsia="Times New Roman" w:hAnsiTheme="minorHAnsi" w:cstheme="minorHAnsi"/>
                <w:i/>
                <w:color w:val="auto"/>
                <w:szCs w:val="20"/>
              </w:rPr>
              <w:t xml:space="preserve"> Griffiths &amp; Deborah Nixon, University of Technology Sydney</w:t>
            </w:r>
          </w:p>
        </w:tc>
      </w:tr>
      <w:tr w:rsidR="00852352" w:rsidRPr="00B408AD" w:rsidTr="008600EE">
        <w:tc>
          <w:tcPr>
            <w:tcW w:w="822" w:type="pct"/>
          </w:tcPr>
          <w:p w:rsidR="00852352" w:rsidRPr="00B408AD" w:rsidRDefault="00852352" w:rsidP="008600EE">
            <w:pPr>
              <w:pStyle w:val="ListParagraph"/>
              <w:ind w:left="170"/>
              <w:jc w:val="both"/>
            </w:pPr>
            <w:r>
              <w:t>5:00 – 5:30</w:t>
            </w:r>
          </w:p>
        </w:tc>
        <w:tc>
          <w:tcPr>
            <w:tcW w:w="4178" w:type="pct"/>
          </w:tcPr>
          <w:p w:rsidR="00852352" w:rsidRPr="00852352" w:rsidRDefault="00852352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i/>
                <w:color w:val="auto"/>
                <w:szCs w:val="20"/>
              </w:rPr>
            </w:pPr>
            <w:r>
              <w:rPr>
                <w:rFonts w:asciiTheme="minorHAnsi" w:hAnsiTheme="minorHAnsi"/>
                <w:bCs/>
                <w:color w:val="auto"/>
                <w:szCs w:val="20"/>
              </w:rPr>
              <w:t>Not just ‘another workshop’: intensive study skills programs at UC</w:t>
            </w:r>
            <w:r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r>
              <w:rPr>
                <w:rFonts w:asciiTheme="minorHAnsi" w:hAnsiTheme="minorHAnsi"/>
                <w:bCs/>
                <w:i/>
                <w:color w:val="auto"/>
                <w:szCs w:val="20"/>
              </w:rPr>
              <w:t xml:space="preserve">Gail Heinrich, Catherine </w:t>
            </w:r>
            <w:proofErr w:type="spellStart"/>
            <w:r>
              <w:rPr>
                <w:rFonts w:asciiTheme="minorHAnsi" w:hAnsiTheme="minorHAnsi"/>
                <w:bCs/>
                <w:i/>
                <w:color w:val="auto"/>
                <w:szCs w:val="20"/>
              </w:rPr>
              <w:t>Laike</w:t>
            </w:r>
            <w:proofErr w:type="spellEnd"/>
            <w:r>
              <w:rPr>
                <w:rFonts w:asciiTheme="minorHAnsi" w:hAnsiTheme="minorHAnsi"/>
                <w:bCs/>
                <w:i/>
                <w:color w:val="auto"/>
                <w:szCs w:val="20"/>
              </w:rPr>
              <w:t xml:space="preserve">, Kimberly Cole &amp; Ellen </w:t>
            </w:r>
            <w:proofErr w:type="spellStart"/>
            <w:r>
              <w:rPr>
                <w:rFonts w:asciiTheme="minorHAnsi" w:hAnsiTheme="minorHAnsi"/>
                <w:bCs/>
                <w:i/>
                <w:color w:val="auto"/>
                <w:szCs w:val="20"/>
              </w:rPr>
              <w:t>Lassman</w:t>
            </w:r>
            <w:proofErr w:type="spellEnd"/>
            <w:r>
              <w:rPr>
                <w:rFonts w:asciiTheme="minorHAnsi" w:hAnsiTheme="minorHAnsi"/>
                <w:bCs/>
                <w:i/>
                <w:color w:val="auto"/>
                <w:szCs w:val="20"/>
              </w:rPr>
              <w:t>, University of Canberra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  <w:shd w:val="clear" w:color="auto" w:fill="auto"/>
          </w:tcPr>
          <w:p w:rsidR="00083755" w:rsidRPr="00B408AD" w:rsidRDefault="00083755" w:rsidP="008600EE">
            <w:pPr>
              <w:pStyle w:val="ListParagraph"/>
              <w:ind w:left="170"/>
              <w:jc w:val="both"/>
            </w:pPr>
            <w:r w:rsidRPr="00B408AD">
              <w:t xml:space="preserve">DAY 3 </w:t>
            </w:r>
          </w:p>
        </w:tc>
        <w:tc>
          <w:tcPr>
            <w:tcW w:w="4178" w:type="pct"/>
            <w:shd w:val="clear" w:color="auto" w:fill="auto"/>
          </w:tcPr>
          <w:p w:rsidR="00083755" w:rsidRPr="00B408AD" w:rsidRDefault="008600EE" w:rsidP="00EC222A">
            <w:pPr>
              <w:rPr>
                <w:b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</w:rPr>
              <w:t>Partnerships in action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9.30 – 10.00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Flying Start: partnering with students and other stakeholders in doctoral rites of passage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</w:rPr>
              <w:t>Steve Johnson, Julia Hobson &amp; Melinda Nicola, Murdoch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10.00 – 10.30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Issues in sustainability: embedding communication development in first year architecture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 w:cstheme="minorHAnsi"/>
                <w:i/>
                <w:color w:val="auto"/>
              </w:rPr>
              <w:t xml:space="preserve">Dorothy </w:t>
            </w:r>
            <w:proofErr w:type="spellStart"/>
            <w:r w:rsidRPr="00B408AD">
              <w:rPr>
                <w:rFonts w:asciiTheme="minorHAnsi" w:hAnsiTheme="minorHAnsi" w:cstheme="minorHAnsi"/>
                <w:i/>
                <w:color w:val="auto"/>
              </w:rPr>
              <w:t>Economou</w:t>
            </w:r>
            <w:proofErr w:type="spellEnd"/>
            <w:r w:rsidRPr="00B408AD">
              <w:rPr>
                <w:rFonts w:asciiTheme="minorHAnsi" w:hAnsiTheme="minorHAnsi" w:cstheme="minorHAnsi"/>
                <w:i/>
                <w:color w:val="auto"/>
              </w:rPr>
              <w:t>, University of Sydney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10.30 – 11.00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spacing w:line="240" w:lineRule="auto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Making the invisible visible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</w:rPr>
              <w:t>Averil Martin &amp; Nicholas Charlton, Griffith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8600EE">
            <w:pPr>
              <w:pStyle w:val="ListParagraph"/>
              <w:ind w:left="170"/>
              <w:jc w:val="both"/>
            </w:pPr>
            <w:r w:rsidRPr="00B408AD">
              <w:t>11.00 – 11.30</w:t>
            </w:r>
          </w:p>
        </w:tc>
        <w:tc>
          <w:tcPr>
            <w:tcW w:w="4178" w:type="pct"/>
          </w:tcPr>
          <w:p w:rsidR="008600EE" w:rsidRPr="00B408AD" w:rsidRDefault="008600EE" w:rsidP="00852352">
            <w:pPr>
              <w:pStyle w:val="DefaultHeadingStyle"/>
              <w:keepNext/>
              <w:keepLines/>
              <w:tabs>
                <w:tab w:val="left" w:pos="284"/>
              </w:tabs>
              <w:outlineLvl w:val="1"/>
              <w:rPr>
                <w:rFonts w:asciiTheme="minorHAnsi" w:hAnsiTheme="minorHAnsi"/>
                <w:bCs/>
                <w:color w:val="auto"/>
                <w:szCs w:val="20"/>
              </w:rPr>
            </w:pP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t>Partnering to build employability skills and communicative competence in a Master of Engineering subject</w:t>
            </w:r>
            <w:r w:rsidRPr="00B408AD">
              <w:rPr>
                <w:rFonts w:asciiTheme="minorHAnsi" w:hAnsiTheme="minorHAnsi"/>
                <w:bCs/>
                <w:color w:val="auto"/>
                <w:szCs w:val="20"/>
              </w:rPr>
              <w:br/>
            </w:r>
            <w:proofErr w:type="spellStart"/>
            <w:r w:rsidR="00852352">
              <w:rPr>
                <w:rFonts w:asciiTheme="minorHAnsi" w:hAnsiTheme="minorHAnsi" w:cstheme="minorHAnsi"/>
                <w:i/>
                <w:color w:val="auto"/>
                <w:szCs w:val="20"/>
              </w:rPr>
              <w:t>Meeta</w:t>
            </w:r>
            <w:proofErr w:type="spellEnd"/>
            <w:r w:rsidR="00852352">
              <w:rPr>
                <w:rFonts w:asciiTheme="minorHAnsi" w:hAnsiTheme="minorHAnsi" w:cstheme="minorHAnsi"/>
                <w:i/>
                <w:color w:val="auto"/>
                <w:szCs w:val="20"/>
              </w:rPr>
              <w:t xml:space="preserve"> </w:t>
            </w:r>
            <w:proofErr w:type="spellStart"/>
            <w:r w:rsidR="00852352">
              <w:rPr>
                <w:rFonts w:asciiTheme="minorHAnsi" w:hAnsiTheme="minorHAnsi" w:cstheme="minorHAnsi"/>
                <w:i/>
                <w:color w:val="auto"/>
                <w:szCs w:val="20"/>
              </w:rPr>
              <w:t>Padmanabhan</w:t>
            </w:r>
            <w:proofErr w:type="spellEnd"/>
            <w:r w:rsidR="00852352">
              <w:rPr>
                <w:rFonts w:asciiTheme="minorHAnsi" w:hAnsiTheme="minorHAnsi" w:cstheme="minorHAnsi"/>
                <w:i/>
                <w:color w:val="auto"/>
                <w:szCs w:val="20"/>
              </w:rPr>
              <w:t xml:space="preserve"> &amp; Catriona Taylor, University of </w:t>
            </w:r>
            <w:proofErr w:type="spellStart"/>
            <w:r w:rsidR="00852352">
              <w:rPr>
                <w:rFonts w:asciiTheme="minorHAnsi" w:hAnsiTheme="minorHAnsi" w:cstheme="minorHAnsi"/>
                <w:i/>
                <w:color w:val="auto"/>
                <w:szCs w:val="20"/>
              </w:rPr>
              <w:t>Wooloongong</w:t>
            </w:r>
            <w:proofErr w:type="spellEnd"/>
          </w:p>
        </w:tc>
      </w:tr>
      <w:tr w:rsidR="00083755" w:rsidRPr="00B408AD" w:rsidTr="008600EE">
        <w:trPr>
          <w:trHeight w:val="162"/>
        </w:trPr>
        <w:tc>
          <w:tcPr>
            <w:tcW w:w="822" w:type="pct"/>
          </w:tcPr>
          <w:p w:rsidR="00083755" w:rsidRPr="00B408AD" w:rsidRDefault="00083755" w:rsidP="008600EE">
            <w:pPr>
              <w:ind w:left="170"/>
              <w:jc w:val="both"/>
            </w:pPr>
            <w:r w:rsidRPr="00B408AD">
              <w:t xml:space="preserve">11.30 – 12.30 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tabs>
                <w:tab w:val="left" w:pos="1269"/>
              </w:tabs>
              <w:rPr>
                <w:b/>
                <w:sz w:val="24"/>
                <w:szCs w:val="24"/>
              </w:rPr>
            </w:pPr>
            <w:r w:rsidRPr="00B408AD">
              <w:rPr>
                <w:b/>
                <w:sz w:val="24"/>
                <w:szCs w:val="24"/>
              </w:rPr>
              <w:t>Keynote Speaker</w:t>
            </w:r>
          </w:p>
          <w:p w:rsidR="00083755" w:rsidRPr="00B408AD" w:rsidRDefault="008600EE" w:rsidP="00B408AD">
            <w:pPr>
              <w:rPr>
                <w:rFonts w:cstheme="minorHAnsi"/>
                <w:sz w:val="24"/>
                <w:szCs w:val="24"/>
              </w:rPr>
            </w:pPr>
            <w:r w:rsidRPr="00B408AD">
              <w:rPr>
                <w:sz w:val="24"/>
                <w:szCs w:val="24"/>
              </w:rPr>
              <w:t>Karen Orr Vered, Associate Professor Screen &amp; Media, Flinders University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</w:tcPr>
          <w:p w:rsidR="00083755" w:rsidRPr="00B408AD" w:rsidRDefault="00083755" w:rsidP="008600EE">
            <w:pPr>
              <w:ind w:left="170"/>
              <w:jc w:val="both"/>
            </w:pPr>
            <w:r w:rsidRPr="00B408AD">
              <w:lastRenderedPageBreak/>
              <w:t xml:space="preserve">12.30 – 1.30 </w:t>
            </w:r>
          </w:p>
        </w:tc>
        <w:tc>
          <w:tcPr>
            <w:tcW w:w="4178" w:type="pct"/>
            <w:shd w:val="clear" w:color="auto" w:fill="C9C9C9" w:themeFill="accent3" w:themeFillTint="99"/>
            <w:vAlign w:val="center"/>
          </w:tcPr>
          <w:p w:rsidR="00083755" w:rsidRPr="00B408AD" w:rsidRDefault="008600EE" w:rsidP="00EC222A">
            <w:pPr>
              <w:pStyle w:val="ListParagraph"/>
              <w:jc w:val="center"/>
              <w:rPr>
                <w:b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32"/>
                <w:szCs w:val="32"/>
              </w:rPr>
              <w:t>BREAK</w:t>
            </w:r>
          </w:p>
        </w:tc>
      </w:tr>
      <w:tr w:rsidR="00083755" w:rsidRPr="00B408AD" w:rsidTr="00EC222A">
        <w:trPr>
          <w:trHeight w:val="567"/>
        </w:trPr>
        <w:tc>
          <w:tcPr>
            <w:tcW w:w="822" w:type="pct"/>
            <w:shd w:val="clear" w:color="auto" w:fill="auto"/>
          </w:tcPr>
          <w:p w:rsidR="00083755" w:rsidRPr="00B408AD" w:rsidRDefault="00083755" w:rsidP="00BE3F09">
            <w:pPr>
              <w:pStyle w:val="ListParagraph"/>
              <w:ind w:left="420"/>
            </w:pPr>
          </w:p>
        </w:tc>
        <w:tc>
          <w:tcPr>
            <w:tcW w:w="4178" w:type="pct"/>
            <w:shd w:val="clear" w:color="auto" w:fill="auto"/>
          </w:tcPr>
          <w:p w:rsidR="00083755" w:rsidRPr="00B408AD" w:rsidRDefault="00083755" w:rsidP="00EC222A">
            <w:pPr>
              <w:rPr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  <w:szCs w:val="24"/>
              </w:rPr>
              <w:t xml:space="preserve">Innovations in Peer Learning 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B408AD" w:rsidP="008600EE">
            <w:pPr>
              <w:pStyle w:val="ListParagraph"/>
              <w:ind w:left="28"/>
            </w:pPr>
            <w:r w:rsidRPr="00B408AD">
              <w:t>1.45– 2.15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ind w:right="210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From anxious to awesome!: co-creating a community of peer writing praxis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</w:rPr>
              <w:t>Robyn Westcott &amp; Carol Floyd, Macquarie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B408AD">
            <w:pPr>
              <w:pStyle w:val="ListParagraph"/>
              <w:ind w:left="28"/>
            </w:pPr>
            <w:r w:rsidRPr="00B408AD">
              <w:t>2.</w:t>
            </w:r>
            <w:r w:rsidR="00B408AD" w:rsidRPr="00B408AD">
              <w:t>15</w:t>
            </w:r>
            <w:r w:rsidRPr="00B408AD">
              <w:t xml:space="preserve"> – 2.</w:t>
            </w:r>
            <w:r w:rsidR="00B408AD" w:rsidRPr="00B408AD">
              <w:t>45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ind w:right="210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Let’s not ‘PASS’ the buck: Fostering the PASS-ALL relationship through innovations in pedagogy and practice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</w:rPr>
              <w:t>Roslyn Rowen, Charles Darwin University</w:t>
            </w:r>
          </w:p>
        </w:tc>
      </w:tr>
      <w:tr w:rsidR="008600EE" w:rsidRPr="00B408AD" w:rsidTr="008600EE">
        <w:tc>
          <w:tcPr>
            <w:tcW w:w="822" w:type="pct"/>
          </w:tcPr>
          <w:p w:rsidR="008600EE" w:rsidRPr="00B408AD" w:rsidRDefault="008600EE" w:rsidP="00B408AD">
            <w:pPr>
              <w:pStyle w:val="ListParagraph"/>
              <w:ind w:left="28"/>
            </w:pPr>
            <w:r w:rsidRPr="00B408AD">
              <w:t>2.</w:t>
            </w:r>
            <w:r w:rsidR="00B408AD" w:rsidRPr="00B408AD">
              <w:t>45</w:t>
            </w:r>
            <w:r w:rsidRPr="00B408AD">
              <w:t xml:space="preserve"> – 3.</w:t>
            </w:r>
            <w:r w:rsidR="00B408AD" w:rsidRPr="00B408AD">
              <w:t>15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DefaultHeadingStyle"/>
              <w:keepNext/>
              <w:keepLines/>
              <w:tabs>
                <w:tab w:val="left" w:pos="284"/>
              </w:tabs>
              <w:ind w:right="210"/>
              <w:outlineLvl w:val="1"/>
              <w:rPr>
                <w:rFonts w:asciiTheme="minorHAnsi" w:hAnsiTheme="minorHAnsi"/>
                <w:bCs/>
                <w:color w:val="auto"/>
              </w:rPr>
            </w:pPr>
            <w:r w:rsidRPr="00B408AD">
              <w:rPr>
                <w:rFonts w:asciiTheme="minorHAnsi" w:hAnsiTheme="minorHAnsi"/>
                <w:bCs/>
                <w:color w:val="auto"/>
              </w:rPr>
              <w:t>Online strategies to recruit and train Student Mentors: opportunities for development and integration with face-to-face strategies</w:t>
            </w:r>
            <w:r w:rsidRPr="00B408AD">
              <w:rPr>
                <w:rFonts w:asciiTheme="minorHAnsi" w:hAnsiTheme="minorHAnsi"/>
                <w:bCs/>
                <w:color w:val="auto"/>
              </w:rPr>
              <w:br/>
            </w:r>
            <w:r w:rsidRPr="00B408AD">
              <w:rPr>
                <w:rFonts w:asciiTheme="minorHAnsi" w:hAnsiTheme="minorHAnsi"/>
                <w:bCs/>
                <w:i/>
                <w:color w:val="auto"/>
              </w:rPr>
              <w:t>Ana Garcia-</w:t>
            </w:r>
            <w:proofErr w:type="spellStart"/>
            <w:r w:rsidRPr="00B408AD">
              <w:rPr>
                <w:rFonts w:asciiTheme="minorHAnsi" w:hAnsiTheme="minorHAnsi"/>
                <w:bCs/>
                <w:i/>
                <w:color w:val="auto"/>
              </w:rPr>
              <w:t>Melgar</w:t>
            </w:r>
            <w:proofErr w:type="spellEnd"/>
            <w:r w:rsidRPr="00B408AD">
              <w:rPr>
                <w:rFonts w:asciiTheme="minorHAnsi" w:hAnsiTheme="minorHAnsi"/>
                <w:bCs/>
                <w:i/>
                <w:color w:val="auto"/>
              </w:rPr>
              <w:t>, Victoria University</w:t>
            </w:r>
          </w:p>
        </w:tc>
      </w:tr>
      <w:tr w:rsidR="00083755" w:rsidRPr="00B408AD" w:rsidTr="008600EE">
        <w:tc>
          <w:tcPr>
            <w:tcW w:w="822" w:type="pct"/>
          </w:tcPr>
          <w:p w:rsidR="00083755" w:rsidRPr="00B408AD" w:rsidRDefault="00083755" w:rsidP="00B408AD">
            <w:pPr>
              <w:ind w:left="28"/>
            </w:pPr>
            <w:r w:rsidRPr="00B408AD">
              <w:t>3.</w:t>
            </w:r>
            <w:r w:rsidR="00B408AD" w:rsidRPr="00B408AD">
              <w:t>15</w:t>
            </w:r>
            <w:r w:rsidRPr="00B408AD">
              <w:t xml:space="preserve"> – 3.</w:t>
            </w:r>
            <w:r w:rsidR="00B408AD" w:rsidRPr="00B408AD">
              <w:t>45</w:t>
            </w:r>
          </w:p>
        </w:tc>
        <w:tc>
          <w:tcPr>
            <w:tcW w:w="4178" w:type="pct"/>
          </w:tcPr>
          <w:p w:rsidR="008600EE" w:rsidRPr="00B408AD" w:rsidRDefault="008600EE" w:rsidP="008600EE">
            <w:pPr>
              <w:pStyle w:val="ListParagraph"/>
              <w:tabs>
                <w:tab w:val="left" w:pos="1269"/>
              </w:tabs>
              <w:ind w:hanging="689"/>
              <w:rPr>
                <w:rFonts w:cstheme="minorHAnsi"/>
                <w:b/>
                <w:sz w:val="24"/>
                <w:szCs w:val="24"/>
              </w:rPr>
            </w:pPr>
            <w:r w:rsidRPr="00B408AD">
              <w:rPr>
                <w:rFonts w:cstheme="minorHAnsi"/>
                <w:b/>
                <w:sz w:val="24"/>
                <w:szCs w:val="24"/>
              </w:rPr>
              <w:t>Conference Close</w:t>
            </w:r>
          </w:p>
          <w:p w:rsidR="00083755" w:rsidRPr="00B408AD" w:rsidRDefault="00B408AD" w:rsidP="00351B2D">
            <w:pPr>
              <w:rPr>
                <w:b/>
                <w:sz w:val="32"/>
                <w:szCs w:val="24"/>
              </w:rPr>
            </w:pPr>
            <w:r w:rsidRPr="00B408AD">
              <w:t>President of AALL – Rowena Harper</w:t>
            </w:r>
            <w:r w:rsidRPr="00B408AD">
              <w:br/>
              <w:t>Best Paper Winner &amp; Next Conference venue announcement</w:t>
            </w:r>
            <w:r w:rsidRPr="00B408AD">
              <w:br/>
            </w:r>
            <w:r w:rsidR="004C74EB">
              <w:t>Fiona Henderson</w:t>
            </w:r>
            <w:bookmarkStart w:id="0" w:name="_GoBack"/>
            <w:bookmarkEnd w:id="0"/>
            <w:r w:rsidR="00351B2D">
              <w:t xml:space="preserve"> and </w:t>
            </w:r>
            <w:proofErr w:type="spellStart"/>
            <w:r w:rsidR="00351B2D">
              <w:t>Corrina</w:t>
            </w:r>
            <w:proofErr w:type="spellEnd"/>
            <w:r w:rsidR="00351B2D">
              <w:t xml:space="preserve"> Ridley</w:t>
            </w:r>
          </w:p>
        </w:tc>
      </w:tr>
    </w:tbl>
    <w:p w:rsidR="00844165" w:rsidRPr="00B408AD" w:rsidRDefault="00844165" w:rsidP="00BE3F09"/>
    <w:sectPr w:rsidR="00844165" w:rsidRPr="00B408AD" w:rsidSect="00B408AD">
      <w:headerReference w:type="default" r:id="rId6"/>
      <w:headerReference w:type="first" r:id="rId7"/>
      <w:pgSz w:w="16838" w:h="11906" w:orient="landscape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8AD" w:rsidRDefault="00B408AD" w:rsidP="00B408AD">
      <w:pPr>
        <w:spacing w:after="0" w:line="240" w:lineRule="auto"/>
      </w:pPr>
      <w:r>
        <w:separator/>
      </w:r>
    </w:p>
  </w:endnote>
  <w:endnote w:type="continuationSeparator" w:id="0">
    <w:p w:rsidR="00B408AD" w:rsidRDefault="00B408AD" w:rsidP="00B4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8AD" w:rsidRDefault="00B408AD" w:rsidP="00B408AD">
      <w:pPr>
        <w:spacing w:after="0" w:line="240" w:lineRule="auto"/>
      </w:pPr>
      <w:r>
        <w:separator/>
      </w:r>
    </w:p>
  </w:footnote>
  <w:footnote w:type="continuationSeparator" w:id="0">
    <w:p w:rsidR="00B408AD" w:rsidRDefault="00B408AD" w:rsidP="00B40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8AD" w:rsidRDefault="00B408AD" w:rsidP="00B408AD">
    <w:pPr>
      <w:pStyle w:val="Header"/>
      <w:jc w:val="center"/>
    </w:pPr>
  </w:p>
  <w:p w:rsidR="00B408AD" w:rsidRDefault="00B408AD" w:rsidP="00B408AD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8AD" w:rsidRDefault="00B408AD" w:rsidP="00B408AD">
    <w:pPr>
      <w:pStyle w:val="Header"/>
      <w:jc w:val="center"/>
    </w:pPr>
    <w:r>
      <w:rPr>
        <w:noProof/>
        <w:lang w:eastAsia="en-AU"/>
      </w:rPr>
      <w:drawing>
        <wp:inline distT="0" distB="0" distL="0" distR="0" wp14:anchorId="67420DF9" wp14:editId="6C1EFABF">
          <wp:extent cx="6218058" cy="1169192"/>
          <wp:effectExtent l="0" t="0" r="0" b="0"/>
          <wp:docPr id="3" name="Picture 3" descr="Z:\Events\Commercial-Events\PCO Current Files\AALL_1-3 Nov 2017\Logos\A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Events\Commercial-Events\PCO Current Files\AALL_1-3 Nov 2017\Logos\A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4110" cy="1174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08AD" w:rsidRDefault="00B408AD" w:rsidP="00B408A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55"/>
    <w:rsid w:val="00083755"/>
    <w:rsid w:val="00287C70"/>
    <w:rsid w:val="00351B2D"/>
    <w:rsid w:val="004C74EB"/>
    <w:rsid w:val="006752FD"/>
    <w:rsid w:val="00844165"/>
    <w:rsid w:val="00852352"/>
    <w:rsid w:val="008600EE"/>
    <w:rsid w:val="009B5326"/>
    <w:rsid w:val="00B10154"/>
    <w:rsid w:val="00B408AD"/>
    <w:rsid w:val="00BE3F09"/>
    <w:rsid w:val="00C459D1"/>
    <w:rsid w:val="00D16A67"/>
    <w:rsid w:val="00EC222A"/>
    <w:rsid w:val="00E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0243B0D-AFC9-4314-AE18-B85EFC97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755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customStyle="1" w:styleId="DefaultHeadingStyle">
    <w:name w:val="Default Heading Style"/>
    <w:link w:val="DefaultHeadingStyleCar"/>
    <w:uiPriority w:val="99"/>
    <w:unhideWhenUsed/>
    <w:rsid w:val="00083755"/>
    <w:pPr>
      <w:spacing w:after="200" w:line="276" w:lineRule="auto"/>
    </w:pPr>
    <w:rPr>
      <w:rFonts w:ascii="Cambria" w:eastAsia="Cambria" w:hAnsi="Cambria" w:cs="Cambria"/>
      <w:color w:val="4F81BD"/>
      <w:lang w:val="en-US"/>
    </w:rPr>
  </w:style>
  <w:style w:type="character" w:customStyle="1" w:styleId="DefaultHeadingStyleCar">
    <w:name w:val="Default Heading StyleCar"/>
    <w:link w:val="DefaultHeadingStyle"/>
    <w:uiPriority w:val="99"/>
    <w:unhideWhenUsed/>
    <w:rsid w:val="00083755"/>
    <w:rPr>
      <w:rFonts w:ascii="Cambria" w:eastAsia="Cambria" w:hAnsi="Cambria" w:cs="Cambria"/>
      <w:color w:val="4F81BD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AD"/>
  </w:style>
  <w:style w:type="paragraph" w:styleId="Footer">
    <w:name w:val="footer"/>
    <w:basedOn w:val="Normal"/>
    <w:link w:val="FooterChar"/>
    <w:uiPriority w:val="99"/>
    <w:unhideWhenUsed/>
    <w:rsid w:val="00B40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Thomson</dc:creator>
  <cp:keywords/>
  <dc:description/>
  <cp:lastModifiedBy>Loreen Ahmad</cp:lastModifiedBy>
  <cp:revision>4</cp:revision>
  <dcterms:created xsi:type="dcterms:W3CDTF">2017-08-03T00:41:00Z</dcterms:created>
  <dcterms:modified xsi:type="dcterms:W3CDTF">2017-10-24T05:28:00Z</dcterms:modified>
</cp:coreProperties>
</file>