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b/>
        </w:rPr>
        <w:t>Student Name:</w:t>
      </w:r>
      <w:r>
        <w:rPr/>
        <w:tab/>
      </w:r>
      <w:r>
        <w:rPr>
          <w:u w:val="single"/>
        </w:rPr>
        <w:t>Ahmed Almass &amp; Divyadeep Parmar</w:t>
      </w:r>
      <w:r>
        <w:rPr/>
        <w:tab/>
        <w:t xml:space="preserve">                      </w:t>
      </w:r>
      <w:r>
        <w:rPr>
          <w:b/>
        </w:rPr>
        <w:t>Weight: 3%</w:t>
      </w:r>
    </w:p>
    <w:p>
      <w:pPr>
        <w:pStyle w:val="Normal"/>
        <w:tabs>
          <w:tab w:val="left" w:pos="1985" w:leader="none"/>
          <w:tab w:val="left" w:pos="5040" w:leader="none"/>
          <w:tab w:val="left" w:pos="5760" w:leader="none"/>
          <w:tab w:val="left" w:pos="7200" w:leader="none"/>
          <w:tab w:val="left" w:pos="8647" w:leader="none"/>
          <w:tab w:val="right" w:pos="9360" w:leader="none"/>
        </w:tabs>
        <w:rPr/>
      </w:pPr>
      <w:r>
        <w:rPr>
          <w:b/>
        </w:rPr>
        <w:t>Student ID:</w:t>
      </w:r>
      <w:r>
        <w:rPr/>
        <w:tab/>
      </w:r>
      <w:r>
        <w:rPr/>
        <w:t xml:space="preserve">6510096 &amp; </w:t>
      </w:r>
      <w:r>
        <w:rPr>
          <w:u w:val="single"/>
        </w:rPr>
        <w:tab/>
        <w:tab/>
      </w:r>
      <w:r>
        <w:rPr/>
        <w:tab/>
      </w:r>
      <w:r>
        <w:rPr>
          <w:b/>
        </w:rPr>
        <w:t>Marks:   /</w:t>
      </w:r>
    </w:p>
    <w:p>
      <w:pPr>
        <w:pStyle w:val="Heading1"/>
        <w:rPr>
          <w:sz w:val="32"/>
        </w:rPr>
      </w:pPr>
      <w:r>
        <w:rPr>
          <w:sz w:val="32"/>
        </w:rPr>
      </w:r>
    </w:p>
    <w:p>
      <w:pPr>
        <w:pStyle w:val="Heading1"/>
        <w:rPr>
          <w:sz w:val="32"/>
        </w:rPr>
      </w:pPr>
      <w:r>
        <w:rPr>
          <w:sz w:val="32"/>
        </w:rPr>
        <w:t>Instructions</w:t>
      </w:r>
    </w:p>
    <w:p>
      <w:pPr>
        <w:pStyle w:val="Normal"/>
        <w:rPr/>
      </w:pPr>
      <w:r>
        <w:rPr/>
        <w:t>Working in groups of two, identify the components of information security governance within an organization.</w:t>
      </w:r>
    </w:p>
    <w:p>
      <w:pPr>
        <w:pStyle w:val="Normal"/>
        <w:rPr/>
      </w:pPr>
      <w:r>
        <w:rPr/>
      </w:r>
    </w:p>
    <w:p>
      <w:pPr>
        <w:pStyle w:val="Normal"/>
        <w:rPr/>
      </w:pPr>
      <w:r>
        <w:rPr/>
        <w:t>Organization type:</w:t>
        <w:tab/>
        <w:tab/>
        <w:t>Integrated Oil and Gas Company (upstream and downstream)</w:t>
      </w:r>
    </w:p>
    <w:p>
      <w:pPr>
        <w:pStyle w:val="Normal"/>
        <w:rPr/>
      </w:pPr>
      <w:r>
        <w:rPr/>
        <w:t>Organization size:</w:t>
        <w:tab/>
        <w:tab/>
        <w:t>1,000 employees</w:t>
      </w:r>
    </w:p>
    <w:p>
      <w:pPr>
        <w:pStyle w:val="Normal"/>
        <w:rPr/>
      </w:pPr>
      <w:r>
        <w:rPr/>
        <w:t>Publicly traded:</w:t>
        <w:tab/>
        <w:tab/>
        <w:t>TSX</w:t>
      </w:r>
    </w:p>
    <w:p>
      <w:pPr>
        <w:pStyle w:val="Normal"/>
        <w:rPr/>
      </w:pPr>
      <w:r>
        <w:rPr/>
        <w:t>Operations in:</w:t>
        <w:tab/>
        <w:tab/>
        <w:tab/>
        <w:t>Canada and the United States</w:t>
      </w:r>
    </w:p>
    <w:p>
      <w:pPr>
        <w:pStyle w:val="Normal"/>
        <w:rPr/>
      </w:pPr>
      <w:r>
        <w:rPr/>
      </w:r>
    </w:p>
    <w:p>
      <w:pPr>
        <w:pStyle w:val="Normal"/>
        <w:rPr/>
      </w:pPr>
      <w:r>
        <w:rPr/>
        <w:t xml:space="preserve">TransCanada </w:t>
      </w:r>
    </w:p>
    <w:p>
      <w:pPr>
        <w:pStyle w:val="Normal"/>
        <w:rPr/>
      </w:pPr>
      <w:r>
        <w:rPr/>
      </w:r>
    </w:p>
    <w:p>
      <w:pPr>
        <w:pStyle w:val="Heading1"/>
        <w:rPr/>
      </w:pPr>
      <w:r>
        <w:rPr>
          <w:sz w:val="32"/>
        </w:rPr>
        <w:t>Questions</w:t>
      </w:r>
    </w:p>
    <w:p>
      <w:pPr>
        <w:pStyle w:val="ListParagraph"/>
        <w:numPr>
          <w:ilvl w:val="0"/>
          <w:numId w:val="1"/>
        </w:numPr>
        <w:spacing w:before="0" w:after="120"/>
        <w:ind w:left="360" w:hanging="360"/>
        <w:rPr/>
      </w:pPr>
      <w:r>
        <w:rPr/>
        <w:t>Who is the owner of the corporate information security policy?</w:t>
      </w:r>
    </w:p>
    <w:p>
      <w:pPr>
        <w:pStyle w:val="ListParagraph"/>
        <w:numPr>
          <w:ilvl w:val="0"/>
          <w:numId w:val="2"/>
        </w:numPr>
        <w:spacing w:before="0" w:after="120"/>
        <w:rPr/>
      </w:pPr>
      <w:r>
        <w:rPr/>
        <w:t xml:space="preserve">This Policy governs TransCanada’s Use of Personal Information, and complies with federal, provincial, and state privacy and Personal Information protection statutes and regulations. </w:t>
      </w:r>
    </w:p>
    <w:p>
      <w:pPr>
        <w:pStyle w:val="ListParagraph"/>
        <w:numPr>
          <w:ilvl w:val="0"/>
          <w:numId w:val="1"/>
        </w:numPr>
        <w:spacing w:before="0" w:after="120"/>
        <w:ind w:left="360" w:hanging="360"/>
        <w:rPr/>
      </w:pPr>
      <w:r>
        <w:rPr/>
        <w:t>What are the responsibilities of the information security officer?</w:t>
      </w:r>
    </w:p>
    <w:p>
      <w:pPr>
        <w:pStyle w:val="ListParagraph"/>
        <w:numPr>
          <w:ilvl w:val="0"/>
          <w:numId w:val="3"/>
        </w:numPr>
        <w:spacing w:before="0" w:after="120"/>
        <w:rPr/>
      </w:pPr>
      <w:r>
        <w:rPr/>
        <w:t>is accountable for this Policy. People may contact the Privacy Office for all matters related to TransCanada’s Use of Personal Information.</w:t>
      </w:r>
    </w:p>
    <w:p>
      <w:pPr>
        <w:pStyle w:val="ListParagraph"/>
        <w:numPr>
          <w:ilvl w:val="0"/>
          <w:numId w:val="1"/>
        </w:numPr>
        <w:spacing w:before="0" w:after="120"/>
        <w:ind w:left="360" w:hanging="360"/>
        <w:rPr/>
      </w:pPr>
      <w:r>
        <w:rPr/>
        <w:t>Who should the information security officer report to?</w:t>
      </w:r>
    </w:p>
    <w:p>
      <w:pPr>
        <w:pStyle w:val="ListParagraph"/>
        <w:numPr>
          <w:ilvl w:val="0"/>
          <w:numId w:val="4"/>
        </w:numPr>
        <w:spacing w:before="0" w:after="120"/>
        <w:rPr/>
      </w:pPr>
      <w:r>
        <w:rPr/>
        <w:t>The Privacy Officer will report Privacy Breaches to government authorities and notify affected people of a breach, in accordance with applicable legal requirements.</w:t>
      </w:r>
    </w:p>
    <w:p>
      <w:pPr>
        <w:pStyle w:val="ListParagraph"/>
        <w:numPr>
          <w:ilvl w:val="0"/>
          <w:numId w:val="1"/>
        </w:numPr>
        <w:spacing w:before="0" w:after="120"/>
        <w:ind w:left="360" w:hanging="360"/>
        <w:rPr/>
      </w:pPr>
      <w:r>
        <w:rPr/>
        <w:t>Give two examples of regulation/compliance relevant to the organization.</w:t>
      </w:r>
    </w:p>
    <w:p>
      <w:pPr>
        <w:pStyle w:val="Normal"/>
        <w:numPr>
          <w:ilvl w:val="0"/>
          <w:numId w:val="5"/>
        </w:numPr>
        <w:rPr/>
      </w:pPr>
      <w:r>
        <w:rPr/>
        <w:t xml:space="preserve"> </w:t>
      </w:r>
      <w:r>
        <w:rPr/>
        <w:t>Personnel are responsible for promptly reporting suspected or actual violation of this Policy, applicable law, or any other concern, through available channels so that it can be appropriately investigated, addressed and handled.</w:t>
      </w:r>
    </w:p>
    <w:p>
      <w:pPr>
        <w:pStyle w:val="Normal"/>
        <w:numPr>
          <w:ilvl w:val="0"/>
          <w:numId w:val="5"/>
        </w:numPr>
        <w:rPr/>
      </w:pPr>
      <w:r>
        <w:rPr/>
        <w:t xml:space="preserve">Personnel who fail to comply, or knowingly permit Personnel under their supervision to not comply, may be subject to appropriate corrective disciplinary action in accordance with the Company’s Policies and process. </w:t>
      </w:r>
    </w:p>
    <w:p>
      <w:pPr>
        <w:pStyle w:val="Normal"/>
        <w:spacing w:before="0" w:after="120"/>
        <w:rPr/>
      </w:pPr>
      <w:r>
        <w:rPr/>
      </w:r>
    </w:p>
    <w:sectPr>
      <w:headerReference w:type="default" r:id="rId2"/>
      <w:footerReference w:type="default" r:id="rId3"/>
      <w:type w:val="nextPage"/>
      <w:pgSz w:w="12240" w:h="15840"/>
      <w:pgMar w:left="180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sz w:val="20"/>
              <w:szCs w:val="20"/>
            </w:rPr>
            <w:fldChar w:fldCharType="begin"/>
          </w:r>
          <w:r>
            <w:instrText> PAGE </w:instrText>
          </w:r>
          <w:r>
            <w:fldChar w:fldCharType="separate"/>
          </w:r>
          <w:r>
            <w:t>2</w:t>
          </w:r>
          <w:r>
            <w:fldChar w:fldCharType="end"/>
          </w:r>
        </w:p>
      </w:tc>
      <w:tc>
        <w:tcPr>
          <w:tcW w:w="8066" w:type="dxa"/>
          <w:tcBorders>
            <w:top w:val="single" w:sz="18" w:space="0" w:color="005EB8"/>
            <w:left w:val="single" w:sz="18" w:space="0" w:color="005EB8"/>
            <w:bottom w:val="single" w:sz="18" w:space="0" w:color="808080"/>
            <w:insideH w:val="single" w:sz="18" w:space="0" w:color="808080"/>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Security Policies and Operations</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3">
          <wp:simplePos x="0" y="0"/>
          <wp:positionH relativeFrom="column">
            <wp:posOffset>-114300</wp:posOffset>
          </wp:positionH>
          <wp:positionV relativeFrom="paragraph">
            <wp:posOffset>-292100</wp:posOffset>
          </wp:positionV>
          <wp:extent cx="1526540" cy="6305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t>S</w:t>
    </w:r>
    <w:r>
      <w:rPr/>
      <w:t>ecurity Policy</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5128"/>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semiHidden/>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5339-26A7-449E-AE25-CFFD4E72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2</Pages>
  <Words>247</Words>
  <Characters>1479</Characters>
  <CharactersWithSpaces>1730</CharactersWithSpaces>
  <Paragraphs>24</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2019-01-09T18:15:00Z</dcterms:created>
  <dc:creator>icttech</dc:creator>
  <dc:description/>
  <dc:language>en-US</dc:language>
  <cp:lastModifiedBy/>
  <cp:lastPrinted>2014-12-04T20:00:00Z</cp:lastPrinted>
  <dcterms:modified xsi:type="dcterms:W3CDTF">2019-01-12T20:52:11Z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