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9FEB5" w14:textId="77777777" w:rsidR="001E77C4" w:rsidRDefault="00857D97">
      <w:pPr>
        <w:spacing w:before="1400"/>
        <w:jc w:val="center"/>
        <w:rPr>
          <w:rFonts w:hint="eastAsia"/>
          <w:b/>
          <w:color w:val="E66914"/>
          <w:sz w:val="32"/>
        </w:rPr>
      </w:pPr>
      <w:r>
        <w:rPr>
          <w:b/>
          <w:color w:val="E66914"/>
          <w:sz w:val="32"/>
        </w:rPr>
        <w:t>WEEK 6 PROJECT REPORT</w:t>
      </w:r>
    </w:p>
    <w:p w14:paraId="43FD394D" w14:textId="77777777" w:rsidR="001E77C4" w:rsidRDefault="00857D97">
      <w:pPr>
        <w:jc w:val="center"/>
        <w:rPr>
          <w:rFonts w:hint="eastAsia"/>
          <w:b/>
          <w:color w:val="142D50"/>
          <w:sz w:val="60"/>
        </w:rPr>
      </w:pPr>
      <w:r>
        <w:rPr>
          <w:b/>
          <w:color w:val="142D50"/>
          <w:sz w:val="60"/>
        </w:rPr>
        <w:t>Comprehensive Retail</w:t>
      </w:r>
      <w:r>
        <w:rPr>
          <w:b/>
          <w:color w:val="142D50"/>
          <w:sz w:val="60"/>
        </w:rPr>
        <w:br/>
        <w:t>E-Commerce Data Analysis</w:t>
      </w:r>
    </w:p>
    <w:p w14:paraId="648C06C1" w14:textId="77777777" w:rsidR="001E77C4" w:rsidRDefault="00857D97">
      <w:pPr>
        <w:jc w:val="center"/>
        <w:rPr>
          <w:rFonts w:hint="eastAsia"/>
          <w:color w:val="505F6E"/>
          <w:sz w:val="26"/>
        </w:rPr>
      </w:pPr>
      <w:r>
        <w:rPr>
          <w:color w:val="505F6E"/>
          <w:sz w:val="26"/>
        </w:rPr>
        <w:t>An End-to-End Analytical Framework for Customer, Sales,</w:t>
      </w:r>
      <w:r>
        <w:rPr>
          <w:color w:val="505F6E"/>
          <w:sz w:val="26"/>
        </w:rPr>
        <w:br/>
        <w:t>Website Performance, Forecasting, and Pricing</w:t>
      </w:r>
    </w:p>
    <w:p w14:paraId="6AEBF466" w14:textId="77777777" w:rsidR="001E77C4" w:rsidRDefault="00857D97">
      <w:pPr>
        <w:rPr>
          <w:rFonts w:hint="eastAsia"/>
        </w:rPr>
      </w:pPr>
      <w:r>
        <w:br/>
      </w:r>
    </w:p>
    <w:tbl>
      <w:tblPr>
        <w:tblW w:w="9936" w:type="dxa"/>
        <w:tblInd w:w="-108" w:type="dxa"/>
        <w:tblLayout w:type="fixed"/>
        <w:tblLook w:val="0000" w:firstRow="0" w:lastRow="0" w:firstColumn="0" w:lastColumn="0" w:noHBand="0" w:noVBand="0"/>
      </w:tblPr>
      <w:tblGrid>
        <w:gridCol w:w="4968"/>
        <w:gridCol w:w="4968"/>
      </w:tblGrid>
      <w:tr w:rsidR="001E77C4" w14:paraId="594580A8" w14:textId="77777777">
        <w:tc>
          <w:tcPr>
            <w:tcW w:w="4968" w:type="dxa"/>
            <w:tcBorders>
              <w:top w:val="single" w:sz="8" w:space="0" w:color="4F81BD"/>
              <w:bottom w:val="single" w:sz="8" w:space="0" w:color="4F81BD"/>
            </w:tcBorders>
            <w:shd w:val="clear" w:color="auto" w:fill="DCEAF3"/>
          </w:tcPr>
          <w:p w14:paraId="790BE889"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Assignment</w:t>
            </w:r>
          </w:p>
        </w:tc>
        <w:tc>
          <w:tcPr>
            <w:tcW w:w="4968" w:type="dxa"/>
            <w:tcBorders>
              <w:top w:val="single" w:sz="8" w:space="0" w:color="4F81BD"/>
              <w:bottom w:val="single" w:sz="8" w:space="0" w:color="4F81BD"/>
            </w:tcBorders>
          </w:tcPr>
          <w:p w14:paraId="58E4B6C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Week 6 – Comprehensive Retail eCommerce Data Analysis Report</w:t>
            </w:r>
          </w:p>
        </w:tc>
      </w:tr>
      <w:tr w:rsidR="001E77C4" w14:paraId="66A0EC33" w14:textId="77777777">
        <w:tc>
          <w:tcPr>
            <w:tcW w:w="4968" w:type="dxa"/>
            <w:shd w:val="clear" w:color="auto" w:fill="DCEAF3"/>
          </w:tcPr>
          <w:p w14:paraId="5A6590FC"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Prepared by</w:t>
            </w:r>
          </w:p>
        </w:tc>
        <w:tc>
          <w:tcPr>
            <w:tcW w:w="4968" w:type="dxa"/>
            <w:shd w:val="clear" w:color="auto" w:fill="D3DFEE"/>
          </w:tcPr>
          <w:p w14:paraId="0577F93A" w14:textId="29AC2989" w:rsidR="00DA7585" w:rsidRDefault="00DA7585">
            <w:pPr>
              <w:spacing w:after="0" w:line="240" w:lineRule="auto"/>
              <w:rPr>
                <w:rFonts w:hint="eastAsia"/>
                <w:color w:val="365F91" w:themeColor="accent1" w:themeShade="BF"/>
                <w:sz w:val="18"/>
              </w:rPr>
            </w:pPr>
            <w:proofErr w:type="spellStart"/>
            <w:r>
              <w:rPr>
                <w:rFonts w:hint="eastAsia"/>
                <w:color w:val="365F91" w:themeColor="accent1" w:themeShade="BF"/>
                <w:sz w:val="18"/>
              </w:rPr>
              <w:t>A</w:t>
            </w:r>
            <w:r>
              <w:rPr>
                <w:color w:val="365F91" w:themeColor="accent1" w:themeShade="BF"/>
                <w:sz w:val="18"/>
              </w:rPr>
              <w:t>alok</w:t>
            </w:r>
            <w:proofErr w:type="spellEnd"/>
            <w:r>
              <w:rPr>
                <w:color w:val="365F91" w:themeColor="accent1" w:themeShade="BF"/>
                <w:sz w:val="18"/>
              </w:rPr>
              <w:t xml:space="preserve"> </w:t>
            </w:r>
            <w:proofErr w:type="spellStart"/>
            <w:r>
              <w:rPr>
                <w:color w:val="365F91" w:themeColor="accent1" w:themeShade="BF"/>
                <w:sz w:val="18"/>
              </w:rPr>
              <w:t>pandey</w:t>
            </w:r>
            <w:proofErr w:type="spellEnd"/>
          </w:p>
        </w:tc>
      </w:tr>
      <w:tr w:rsidR="001E77C4" w14:paraId="14E4DDD4" w14:textId="77777777">
        <w:tc>
          <w:tcPr>
            <w:tcW w:w="4968" w:type="dxa"/>
            <w:shd w:val="clear" w:color="auto" w:fill="DCEAF3"/>
          </w:tcPr>
          <w:p w14:paraId="46926154"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Tools and methods</w:t>
            </w:r>
          </w:p>
        </w:tc>
        <w:tc>
          <w:tcPr>
            <w:tcW w:w="4968" w:type="dxa"/>
          </w:tcPr>
          <w:p w14:paraId="78ACB691" w14:textId="77777777" w:rsidR="001E77C4" w:rsidRDefault="00857D97">
            <w:pPr>
              <w:spacing w:after="0" w:line="240" w:lineRule="auto"/>
              <w:rPr>
                <w:rFonts w:hint="eastAsia"/>
                <w:color w:val="365F91" w:themeColor="accent1" w:themeShade="BF"/>
                <w:sz w:val="18"/>
              </w:rPr>
            </w:pPr>
            <w:r>
              <w:rPr>
                <w:color w:val="365F91" w:themeColor="accent1" w:themeShade="BF"/>
                <w:sz w:val="18"/>
              </w:rPr>
              <w:t>Python, Pandas, NumPy, Matplotlib, descriptive statistics, RFM, forecasting</w:t>
            </w:r>
          </w:p>
        </w:tc>
      </w:tr>
      <w:tr w:rsidR="001E77C4" w14:paraId="1D7B5745" w14:textId="77777777">
        <w:tc>
          <w:tcPr>
            <w:tcW w:w="4968" w:type="dxa"/>
            <w:tcBorders>
              <w:bottom w:val="single" w:sz="8" w:space="0" w:color="4F81BD"/>
            </w:tcBorders>
            <w:shd w:val="clear" w:color="auto" w:fill="DCEAF3"/>
          </w:tcPr>
          <w:p w14:paraId="2B1EB8F3" w14:textId="77777777" w:rsidR="001E77C4" w:rsidRDefault="00857D97">
            <w:pPr>
              <w:spacing w:after="0" w:line="240" w:lineRule="auto"/>
              <w:rPr>
                <w:rFonts w:hint="eastAsia"/>
                <w:b/>
                <w:bCs/>
                <w:color w:val="365F91" w:themeColor="accent1" w:themeShade="BF"/>
                <w:sz w:val="18"/>
              </w:rPr>
            </w:pPr>
            <w:r>
              <w:rPr>
                <w:b/>
                <w:bCs/>
                <w:color w:val="365F91" w:themeColor="accent1" w:themeShade="BF"/>
                <w:sz w:val="18"/>
              </w:rPr>
              <w:t>Data status</w:t>
            </w:r>
          </w:p>
        </w:tc>
        <w:tc>
          <w:tcPr>
            <w:tcW w:w="4968" w:type="dxa"/>
            <w:tcBorders>
              <w:bottom w:val="single" w:sz="8" w:space="0" w:color="4F81BD"/>
            </w:tcBorders>
            <w:shd w:val="clear" w:color="auto" w:fill="D3DFEE"/>
          </w:tcPr>
          <w:p w14:paraId="54AA1F30" w14:textId="77777777" w:rsidR="001E77C4" w:rsidRDefault="00857D97">
            <w:pPr>
              <w:spacing w:after="0" w:line="240" w:lineRule="auto"/>
              <w:rPr>
                <w:rFonts w:hint="eastAsia"/>
                <w:color w:val="365F91" w:themeColor="accent1" w:themeShade="BF"/>
                <w:sz w:val="18"/>
              </w:rPr>
            </w:pPr>
            <w:r>
              <w:rPr>
                <w:color w:val="365F91" w:themeColor="accent1" w:themeShade="BF"/>
                <w:sz w:val="18"/>
              </w:rPr>
              <w:t>Illustrative simulated data for demonstration; replace with project dataset before submission</w:t>
            </w:r>
          </w:p>
        </w:tc>
      </w:tr>
    </w:tbl>
    <w:p w14:paraId="1FCFBBF3" w14:textId="77777777" w:rsidR="001E77C4" w:rsidRDefault="00857D97">
      <w:pPr>
        <w:jc w:val="center"/>
        <w:rPr>
          <w:rFonts w:hint="eastAsia"/>
        </w:rPr>
      </w:pPr>
      <w:r>
        <w:br/>
        <w:t xml:space="preserve">Academic / </w:t>
      </w:r>
      <w:r>
        <w:t>Internship Project | Final Integrated Report</w:t>
      </w:r>
    </w:p>
    <w:p w14:paraId="7F6A107F" w14:textId="77777777" w:rsidR="001E77C4" w:rsidRDefault="00857D97">
      <w:pPr>
        <w:rPr>
          <w:rFonts w:hint="eastAsia"/>
        </w:rPr>
      </w:pPr>
      <w:r>
        <w:br w:type="page"/>
      </w:r>
    </w:p>
    <w:p w14:paraId="2307D352" w14:textId="77777777" w:rsidR="001E77C4" w:rsidRDefault="00857D97">
      <w:pPr>
        <w:pStyle w:val="Heading1"/>
        <w:spacing w:before="0"/>
      </w:pPr>
      <w:r>
        <w:lastRenderedPageBreak/>
        <w:t>Important Data and Interpretation Note</w:t>
      </w:r>
    </w:p>
    <w:p w14:paraId="7E42BBF0" w14:textId="77777777" w:rsidR="001E77C4" w:rsidRDefault="00857D97">
      <w:pPr>
        <w:spacing w:after="100"/>
        <w:rPr>
          <w:rFonts w:hint="eastAsia"/>
        </w:rPr>
      </w:pPr>
      <w:r>
        <w:t xml:space="preserve">This report is a complete analytical project template built around a clearly labelled simulated retail dataset because no Week 1–5 datasets or analysis files were </w:t>
      </w:r>
      <w:r>
        <w:t>attached with the task images. The values, charts, segment sizes, channel conversion rates, and forecast shown here are illustrative—not claims about a real company. This distinction is important for academic integrity. Before final submission, replace the</w:t>
      </w:r>
      <w:r>
        <w:t xml:space="preserve"> simulated values with the actual data and rerun the calculations, or attach your earlier task files so the report can be integrated accurately.</w:t>
      </w:r>
    </w:p>
    <w:p w14:paraId="6130ED82" w14:textId="77777777" w:rsidR="001E77C4" w:rsidRDefault="00857D97">
      <w:pPr>
        <w:spacing w:after="100"/>
        <w:rPr>
          <w:rFonts w:hint="eastAsia"/>
        </w:rPr>
      </w:pPr>
      <w:r>
        <w:t xml:space="preserve">The report demonstrates the full project lifecycle requested in the assignment: data strategy, quality checks, </w:t>
      </w:r>
      <w:r>
        <w:t xml:space="preserve">customer </w:t>
      </w:r>
      <w:proofErr w:type="spellStart"/>
      <w:r>
        <w:t>behaviour</w:t>
      </w:r>
      <w:proofErr w:type="spellEnd"/>
      <w:r>
        <w:t xml:space="preserve"> and RFM segmentation, sales patterns and baseline forecasting, website acquisition analysis, pricing evaluation, findings, recommendations, limitations, and future work.</w:t>
      </w:r>
    </w:p>
    <w:p w14:paraId="2D146FDE" w14:textId="77777777" w:rsidR="001E77C4" w:rsidRDefault="00857D97">
      <w:pPr>
        <w:pStyle w:val="Heading1"/>
      </w:pPr>
      <w:r>
        <w:t>Table of Contents</w:t>
      </w:r>
    </w:p>
    <w:p w14:paraId="041450BF" w14:textId="77777777" w:rsidR="001E77C4" w:rsidRDefault="00857D97">
      <w:pPr>
        <w:pStyle w:val="ListBullet"/>
        <w:spacing w:after="40"/>
        <w:rPr>
          <w:rFonts w:hint="eastAsia"/>
        </w:rPr>
      </w:pPr>
      <w:r>
        <w:t>1. Executive Summary</w:t>
      </w:r>
    </w:p>
    <w:p w14:paraId="1A6A729A" w14:textId="77777777" w:rsidR="001E77C4" w:rsidRDefault="00857D97">
      <w:pPr>
        <w:pStyle w:val="ListBullet"/>
        <w:spacing w:after="40"/>
        <w:rPr>
          <w:rFonts w:hint="eastAsia"/>
        </w:rPr>
      </w:pPr>
      <w:r>
        <w:t>2. Business Problem and Obje</w:t>
      </w:r>
      <w:r>
        <w:t>ctives</w:t>
      </w:r>
    </w:p>
    <w:p w14:paraId="00BB2ECE" w14:textId="77777777" w:rsidR="001E77C4" w:rsidRDefault="00857D97">
      <w:pPr>
        <w:pStyle w:val="ListBullet"/>
        <w:spacing w:after="40"/>
        <w:rPr>
          <w:rFonts w:hint="eastAsia"/>
        </w:rPr>
      </w:pPr>
      <w:r>
        <w:t>3. Data Strategy and Project Lifecycle</w:t>
      </w:r>
    </w:p>
    <w:p w14:paraId="27FF326F" w14:textId="77777777" w:rsidR="001E77C4" w:rsidRDefault="00857D97">
      <w:pPr>
        <w:pStyle w:val="ListBullet"/>
        <w:spacing w:after="40"/>
        <w:rPr>
          <w:rFonts w:hint="eastAsia"/>
        </w:rPr>
      </w:pPr>
      <w:r>
        <w:t>4. Data Quality and Preparation</w:t>
      </w:r>
    </w:p>
    <w:p w14:paraId="043E9C81" w14:textId="77777777" w:rsidR="001E77C4" w:rsidRDefault="00857D97">
      <w:pPr>
        <w:pStyle w:val="ListBullet"/>
        <w:spacing w:after="40"/>
        <w:rPr>
          <w:rFonts w:hint="eastAsia"/>
        </w:rPr>
      </w:pPr>
      <w:r>
        <w:t>5. Analytical Framework and KPIs</w:t>
      </w:r>
    </w:p>
    <w:p w14:paraId="7106A71D" w14:textId="77777777" w:rsidR="001E77C4" w:rsidRDefault="00857D97">
      <w:pPr>
        <w:pStyle w:val="ListBullet"/>
        <w:spacing w:after="40"/>
        <w:rPr>
          <w:rFonts w:hint="eastAsia"/>
        </w:rPr>
      </w:pPr>
      <w:r>
        <w:t xml:space="preserve">6. Customer </w:t>
      </w:r>
      <w:proofErr w:type="spellStart"/>
      <w:r>
        <w:t>Behaviour</w:t>
      </w:r>
      <w:proofErr w:type="spellEnd"/>
      <w:r>
        <w:t xml:space="preserve"> and RFM Segmentation</w:t>
      </w:r>
    </w:p>
    <w:p w14:paraId="2745E61B" w14:textId="77777777" w:rsidR="001E77C4" w:rsidRDefault="00857D97">
      <w:pPr>
        <w:pStyle w:val="ListBullet"/>
        <w:spacing w:after="40"/>
        <w:rPr>
          <w:rFonts w:hint="eastAsia"/>
        </w:rPr>
      </w:pPr>
      <w:r>
        <w:t>7. Sales Analysis and Forecasting</w:t>
      </w:r>
    </w:p>
    <w:p w14:paraId="3F995E85" w14:textId="77777777" w:rsidR="001E77C4" w:rsidRDefault="00857D97">
      <w:pPr>
        <w:pStyle w:val="ListBullet"/>
        <w:spacing w:after="40"/>
        <w:rPr>
          <w:rFonts w:hint="eastAsia"/>
        </w:rPr>
      </w:pPr>
      <w:r>
        <w:t>8. Website and Acquisition Analytics</w:t>
      </w:r>
    </w:p>
    <w:p w14:paraId="79CBDD71" w14:textId="77777777" w:rsidR="001E77C4" w:rsidRDefault="00857D97">
      <w:pPr>
        <w:pStyle w:val="ListBullet"/>
        <w:spacing w:after="40"/>
        <w:rPr>
          <w:rFonts w:hint="eastAsia"/>
        </w:rPr>
      </w:pPr>
      <w:r>
        <w:t xml:space="preserve">9. Pricing Strategy </w:t>
      </w:r>
      <w:r>
        <w:t>Evaluation</w:t>
      </w:r>
    </w:p>
    <w:p w14:paraId="1CFB430C" w14:textId="77777777" w:rsidR="001E77C4" w:rsidRDefault="00857D97">
      <w:pPr>
        <w:pStyle w:val="ListBullet"/>
        <w:spacing w:after="40"/>
        <w:rPr>
          <w:rFonts w:hint="eastAsia"/>
        </w:rPr>
      </w:pPr>
      <w:r>
        <w:t>10. Cross-Analysis, Patterns, and Limitations</w:t>
      </w:r>
    </w:p>
    <w:p w14:paraId="6E47D4BC" w14:textId="77777777" w:rsidR="001E77C4" w:rsidRDefault="00857D97">
      <w:pPr>
        <w:pStyle w:val="ListBullet"/>
        <w:spacing w:after="40"/>
        <w:rPr>
          <w:rFonts w:hint="eastAsia"/>
        </w:rPr>
      </w:pPr>
      <w:r>
        <w:t>11. Recommendations and Implementation Roadmap</w:t>
      </w:r>
    </w:p>
    <w:p w14:paraId="54B92509" w14:textId="77777777" w:rsidR="001E77C4" w:rsidRDefault="00857D97">
      <w:pPr>
        <w:pStyle w:val="ListBullet"/>
        <w:spacing w:after="40"/>
        <w:rPr>
          <w:rFonts w:hint="eastAsia"/>
        </w:rPr>
      </w:pPr>
      <w:r>
        <w:t>12. Future Directions</w:t>
      </w:r>
    </w:p>
    <w:p w14:paraId="5DCEA41B" w14:textId="77777777" w:rsidR="001E77C4" w:rsidRDefault="00857D97">
      <w:pPr>
        <w:pStyle w:val="ListBullet"/>
        <w:spacing w:after="40"/>
        <w:rPr>
          <w:rFonts w:hint="eastAsia"/>
        </w:rPr>
      </w:pPr>
      <w:r>
        <w:t>13. Conclusion</w:t>
      </w:r>
    </w:p>
    <w:p w14:paraId="5B7A97D8" w14:textId="77777777" w:rsidR="001E77C4" w:rsidRDefault="00857D97">
      <w:pPr>
        <w:pStyle w:val="ListBullet"/>
        <w:spacing w:after="40"/>
        <w:rPr>
          <w:rFonts w:hint="eastAsia"/>
        </w:rPr>
      </w:pPr>
      <w:r>
        <w:t>Appendix A: KPI Definitions</w:t>
      </w:r>
    </w:p>
    <w:p w14:paraId="092012DD" w14:textId="77777777" w:rsidR="001E77C4" w:rsidRDefault="00857D97">
      <w:pPr>
        <w:pStyle w:val="ListBullet"/>
        <w:spacing w:after="40"/>
        <w:rPr>
          <w:rFonts w:hint="eastAsia"/>
        </w:rPr>
      </w:pPr>
      <w:r>
        <w:t>Appendix B: Reproducibility and Validation Checklist</w:t>
      </w:r>
    </w:p>
    <w:p w14:paraId="2E805026" w14:textId="77777777" w:rsidR="001E77C4" w:rsidRDefault="00857D97">
      <w:pPr>
        <w:rPr>
          <w:rFonts w:hint="eastAsia"/>
        </w:rPr>
      </w:pPr>
      <w:r>
        <w:br w:type="page"/>
      </w:r>
    </w:p>
    <w:p w14:paraId="0B8F8D90" w14:textId="77777777" w:rsidR="001E77C4" w:rsidRDefault="00857D97">
      <w:pPr>
        <w:pStyle w:val="Heading1"/>
        <w:spacing w:before="0"/>
      </w:pPr>
      <w:r>
        <w:lastRenderedPageBreak/>
        <w:t>1. Executive Summary</w:t>
      </w:r>
    </w:p>
    <w:p w14:paraId="1D3672EE" w14:textId="77777777" w:rsidR="001E77C4" w:rsidRDefault="00857D97">
      <w:pPr>
        <w:spacing w:after="100"/>
        <w:rPr>
          <w:rFonts w:hint="eastAsia"/>
        </w:rPr>
      </w:pPr>
      <w:r>
        <w:t>Retail e-co</w:t>
      </w:r>
      <w:r>
        <w:t>mmerce businesses generate data at every stage of the customer journey—from acquisition and browsing to ordering, payment, fulfilment, and repeat purchase. Looking at only one metric can hide the reason behind a performance change. This project combines cu</w:t>
      </w:r>
      <w:r>
        <w:t>stomer segmentation, sales trend analysis, a simple order forecast, acquisition-channel conversion analysis, and price-band evaluation into one decision-oriented report.</w:t>
      </w:r>
    </w:p>
    <w:p w14:paraId="4CE3CEFB" w14:textId="77777777" w:rsidR="001E77C4" w:rsidRDefault="00857D97">
      <w:pPr>
        <w:spacing w:after="100"/>
        <w:rPr>
          <w:rFonts w:hint="eastAsia"/>
        </w:rPr>
      </w:pPr>
      <w:r>
        <w:t>In the illustrative dataset, monthly orders generally rise over the 18-month period, w</w:t>
      </w:r>
      <w:r>
        <w:t>ith a visible seasonal peak in the final quarter of 2025 and a subsequent reset in early 2026. The baseline forecast suggests gradual order growth over the next six months, but it should be treated as a planning reference rather than a guaranteed predictio</w:t>
      </w:r>
      <w:r>
        <w:t>n. The example channel analysis shows email and direct traffic converting more efficiently than social traffic, while the pricing example shows stronger conversion in mid-range price bands than at the lowest or highest band.</w:t>
      </w:r>
    </w:p>
    <w:p w14:paraId="5A8847B4" w14:textId="77777777" w:rsidR="001E77C4" w:rsidRDefault="00857D97">
      <w:pPr>
        <w:spacing w:after="100"/>
        <w:rPr>
          <w:rFonts w:hint="eastAsia"/>
        </w:rPr>
      </w:pPr>
      <w:r>
        <w:t>The RFM framework divides custo</w:t>
      </w:r>
      <w:r>
        <w:t xml:space="preserve">mers by recency, frequency, and monetary value so that retention, reactivation, and acquisition efforts can be differentiated. The most important management implication is to connect customer value with channel quality, product pricing, and sales planning </w:t>
      </w:r>
      <w:r>
        <w:t xml:space="preserve">instead of </w:t>
      </w:r>
      <w:proofErr w:type="spellStart"/>
      <w:r>
        <w:t>optimising</w:t>
      </w:r>
      <w:proofErr w:type="spellEnd"/>
      <w:r>
        <w:t xml:space="preserve"> each area independently.</w:t>
      </w:r>
    </w:p>
    <w:p w14:paraId="39339A09" w14:textId="77777777" w:rsidR="001E77C4" w:rsidRDefault="00857D97">
      <w:pPr>
        <w:pStyle w:val="Heading2"/>
      </w:pPr>
      <w:r>
        <w:t>Illustrative headline indicators</w:t>
      </w:r>
    </w:p>
    <w:tbl>
      <w:tblPr>
        <w:tblW w:w="9936" w:type="dxa"/>
        <w:tblInd w:w="-108" w:type="dxa"/>
        <w:tblLayout w:type="fixed"/>
        <w:tblLook w:val="0000" w:firstRow="0" w:lastRow="0" w:firstColumn="0" w:lastColumn="0" w:noHBand="0" w:noVBand="0"/>
      </w:tblPr>
      <w:tblGrid>
        <w:gridCol w:w="3312"/>
        <w:gridCol w:w="3312"/>
        <w:gridCol w:w="3312"/>
      </w:tblGrid>
      <w:tr w:rsidR="001E77C4" w14:paraId="11D31D35" w14:textId="77777777">
        <w:tc>
          <w:tcPr>
            <w:tcW w:w="3312" w:type="dxa"/>
            <w:tcBorders>
              <w:top w:val="single" w:sz="8" w:space="0" w:color="4F81BD"/>
              <w:bottom w:val="single" w:sz="8" w:space="0" w:color="4F81BD"/>
            </w:tcBorders>
            <w:shd w:val="clear" w:color="auto" w:fill="164B73"/>
          </w:tcPr>
          <w:p w14:paraId="0BA9165A" w14:textId="77777777" w:rsidR="001E77C4" w:rsidRDefault="00857D97">
            <w:pPr>
              <w:spacing w:after="0" w:line="240" w:lineRule="auto"/>
              <w:rPr>
                <w:rFonts w:hint="eastAsia"/>
                <w:b/>
                <w:bCs/>
                <w:color w:val="FFFFFF"/>
                <w:sz w:val="18"/>
              </w:rPr>
            </w:pPr>
            <w:r>
              <w:rPr>
                <w:b/>
                <w:bCs/>
                <w:color w:val="FFFFFF"/>
                <w:sz w:val="18"/>
              </w:rPr>
              <w:t>Area</w:t>
            </w:r>
          </w:p>
        </w:tc>
        <w:tc>
          <w:tcPr>
            <w:tcW w:w="3312" w:type="dxa"/>
            <w:tcBorders>
              <w:top w:val="single" w:sz="8" w:space="0" w:color="4F81BD"/>
              <w:bottom w:val="single" w:sz="8" w:space="0" w:color="4F81BD"/>
            </w:tcBorders>
            <w:shd w:val="clear" w:color="auto" w:fill="164B73"/>
          </w:tcPr>
          <w:p w14:paraId="70CB2E51" w14:textId="77777777" w:rsidR="001E77C4" w:rsidRDefault="00857D97">
            <w:pPr>
              <w:spacing w:after="0" w:line="240" w:lineRule="auto"/>
              <w:rPr>
                <w:rFonts w:hint="eastAsia"/>
                <w:b/>
                <w:bCs/>
                <w:color w:val="FFFFFF"/>
                <w:sz w:val="18"/>
              </w:rPr>
            </w:pPr>
            <w:r>
              <w:rPr>
                <w:b/>
                <w:bCs/>
                <w:color w:val="FFFFFF"/>
                <w:sz w:val="18"/>
              </w:rPr>
              <w:t>Illustrative observation</w:t>
            </w:r>
          </w:p>
        </w:tc>
        <w:tc>
          <w:tcPr>
            <w:tcW w:w="3312" w:type="dxa"/>
            <w:tcBorders>
              <w:top w:val="single" w:sz="8" w:space="0" w:color="4F81BD"/>
              <w:bottom w:val="single" w:sz="8" w:space="0" w:color="4F81BD"/>
            </w:tcBorders>
            <w:shd w:val="clear" w:color="auto" w:fill="164B73"/>
          </w:tcPr>
          <w:p w14:paraId="3DBCDF66" w14:textId="77777777" w:rsidR="001E77C4" w:rsidRDefault="00857D97">
            <w:pPr>
              <w:spacing w:after="0" w:line="240" w:lineRule="auto"/>
              <w:rPr>
                <w:rFonts w:hint="eastAsia"/>
                <w:b/>
                <w:bCs/>
                <w:color w:val="FFFFFF"/>
                <w:sz w:val="18"/>
              </w:rPr>
            </w:pPr>
            <w:r>
              <w:rPr>
                <w:b/>
                <w:bCs/>
                <w:color w:val="FFFFFF"/>
                <w:sz w:val="18"/>
              </w:rPr>
              <w:t>Business interpretation</w:t>
            </w:r>
          </w:p>
        </w:tc>
      </w:tr>
      <w:tr w:rsidR="001E77C4" w14:paraId="4836AACC" w14:textId="77777777">
        <w:tc>
          <w:tcPr>
            <w:tcW w:w="3312" w:type="dxa"/>
            <w:shd w:val="clear" w:color="auto" w:fill="D3DFEE"/>
          </w:tcPr>
          <w:p w14:paraId="6B1422D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Sales</w:t>
            </w:r>
          </w:p>
        </w:tc>
        <w:tc>
          <w:tcPr>
            <w:tcW w:w="3312" w:type="dxa"/>
            <w:shd w:val="clear" w:color="auto" w:fill="D3DFEE"/>
          </w:tcPr>
          <w:p w14:paraId="7E8A635B" w14:textId="77777777" w:rsidR="001E77C4" w:rsidRDefault="00857D97">
            <w:pPr>
              <w:spacing w:after="0" w:line="240" w:lineRule="auto"/>
              <w:rPr>
                <w:rFonts w:hint="eastAsia"/>
                <w:color w:val="365F91" w:themeColor="accent1" w:themeShade="BF"/>
                <w:sz w:val="18"/>
              </w:rPr>
            </w:pPr>
            <w:r>
              <w:rPr>
                <w:color w:val="365F91" w:themeColor="accent1" w:themeShade="BF"/>
                <w:sz w:val="18"/>
              </w:rPr>
              <w:t>Orders trend upward over the period, with a seasonal spike</w:t>
            </w:r>
          </w:p>
        </w:tc>
        <w:tc>
          <w:tcPr>
            <w:tcW w:w="3312" w:type="dxa"/>
            <w:shd w:val="clear" w:color="auto" w:fill="D3DFEE"/>
          </w:tcPr>
          <w:p w14:paraId="1E1289A1"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Plan inventory and campaign capacity around </w:t>
            </w:r>
            <w:r>
              <w:rPr>
                <w:color w:val="365F91" w:themeColor="accent1" w:themeShade="BF"/>
                <w:sz w:val="18"/>
              </w:rPr>
              <w:t>seasonal peaks.</w:t>
            </w:r>
          </w:p>
        </w:tc>
      </w:tr>
      <w:tr w:rsidR="001E77C4" w14:paraId="785DAB0A" w14:textId="77777777">
        <w:tc>
          <w:tcPr>
            <w:tcW w:w="3312" w:type="dxa"/>
            <w:shd w:val="clear" w:color="auto" w:fill="EEF4F8"/>
          </w:tcPr>
          <w:p w14:paraId="74432E9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Customers</w:t>
            </w:r>
          </w:p>
        </w:tc>
        <w:tc>
          <w:tcPr>
            <w:tcW w:w="3312" w:type="dxa"/>
            <w:shd w:val="clear" w:color="auto" w:fill="EEF4F8"/>
          </w:tcPr>
          <w:p w14:paraId="506073C9" w14:textId="77777777" w:rsidR="001E77C4" w:rsidRDefault="00857D97">
            <w:pPr>
              <w:spacing w:after="0" w:line="240" w:lineRule="auto"/>
              <w:rPr>
                <w:rFonts w:hint="eastAsia"/>
                <w:color w:val="365F91" w:themeColor="accent1" w:themeShade="BF"/>
                <w:sz w:val="18"/>
              </w:rPr>
            </w:pPr>
            <w:r>
              <w:rPr>
                <w:color w:val="365F91" w:themeColor="accent1" w:themeShade="BF"/>
                <w:sz w:val="18"/>
              </w:rPr>
              <w:t>Champions and loyal customers form valuable retention groups</w:t>
            </w:r>
          </w:p>
        </w:tc>
        <w:tc>
          <w:tcPr>
            <w:tcW w:w="3312" w:type="dxa"/>
            <w:shd w:val="clear" w:color="auto" w:fill="EEF4F8"/>
          </w:tcPr>
          <w:p w14:paraId="1F46C0C3" w14:textId="77777777" w:rsidR="001E77C4" w:rsidRDefault="00857D97">
            <w:pPr>
              <w:spacing w:after="0" w:line="240" w:lineRule="auto"/>
              <w:rPr>
                <w:rFonts w:hint="eastAsia"/>
                <w:color w:val="365F91" w:themeColor="accent1" w:themeShade="BF"/>
                <w:sz w:val="18"/>
              </w:rPr>
            </w:pPr>
            <w:r>
              <w:rPr>
                <w:color w:val="365F91" w:themeColor="accent1" w:themeShade="BF"/>
                <w:sz w:val="18"/>
              </w:rPr>
              <w:t>Protect high-value customers with relevant service and loyalty benefits.</w:t>
            </w:r>
          </w:p>
        </w:tc>
      </w:tr>
      <w:tr w:rsidR="001E77C4" w14:paraId="5D5AB071" w14:textId="77777777">
        <w:tc>
          <w:tcPr>
            <w:tcW w:w="3312" w:type="dxa"/>
            <w:shd w:val="clear" w:color="auto" w:fill="D3DFEE"/>
          </w:tcPr>
          <w:p w14:paraId="3C77934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Website</w:t>
            </w:r>
          </w:p>
        </w:tc>
        <w:tc>
          <w:tcPr>
            <w:tcW w:w="3312" w:type="dxa"/>
            <w:shd w:val="clear" w:color="auto" w:fill="D3DFEE"/>
          </w:tcPr>
          <w:p w14:paraId="525A9D68" w14:textId="77777777" w:rsidR="001E77C4" w:rsidRDefault="00857D97">
            <w:pPr>
              <w:spacing w:after="0" w:line="240" w:lineRule="auto"/>
              <w:rPr>
                <w:rFonts w:hint="eastAsia"/>
                <w:color w:val="365F91" w:themeColor="accent1" w:themeShade="BF"/>
                <w:sz w:val="18"/>
              </w:rPr>
            </w:pPr>
            <w:r>
              <w:rPr>
                <w:color w:val="365F91" w:themeColor="accent1" w:themeShade="BF"/>
                <w:sz w:val="18"/>
              </w:rPr>
              <w:t>Email/direct channels show higher conversion in the example</w:t>
            </w:r>
          </w:p>
        </w:tc>
        <w:tc>
          <w:tcPr>
            <w:tcW w:w="3312" w:type="dxa"/>
            <w:shd w:val="clear" w:color="auto" w:fill="D3DFEE"/>
          </w:tcPr>
          <w:p w14:paraId="79556D9A"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Investigate channel </w:t>
            </w:r>
            <w:r>
              <w:rPr>
                <w:color w:val="365F91" w:themeColor="accent1" w:themeShade="BF"/>
                <w:sz w:val="18"/>
              </w:rPr>
              <w:t>intent and test budget shifts using controlled experiments.</w:t>
            </w:r>
          </w:p>
        </w:tc>
      </w:tr>
      <w:tr w:rsidR="001E77C4" w14:paraId="41BD08FA" w14:textId="77777777">
        <w:tc>
          <w:tcPr>
            <w:tcW w:w="3312" w:type="dxa"/>
            <w:shd w:val="clear" w:color="auto" w:fill="EEF4F8"/>
          </w:tcPr>
          <w:p w14:paraId="7B2FD6D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Pricing</w:t>
            </w:r>
          </w:p>
        </w:tc>
        <w:tc>
          <w:tcPr>
            <w:tcW w:w="3312" w:type="dxa"/>
            <w:shd w:val="clear" w:color="auto" w:fill="EEF4F8"/>
          </w:tcPr>
          <w:p w14:paraId="7552A0C4" w14:textId="77777777" w:rsidR="001E77C4" w:rsidRDefault="00857D97">
            <w:pPr>
              <w:spacing w:after="0" w:line="240" w:lineRule="auto"/>
              <w:rPr>
                <w:rFonts w:hint="eastAsia"/>
                <w:color w:val="365F91" w:themeColor="accent1" w:themeShade="BF"/>
                <w:sz w:val="18"/>
              </w:rPr>
            </w:pPr>
            <w:r>
              <w:rPr>
                <w:color w:val="365F91" w:themeColor="accent1" w:themeShade="BF"/>
                <w:sz w:val="18"/>
              </w:rPr>
              <w:t>Mid-range price band has the strongest example conversion</w:t>
            </w:r>
          </w:p>
        </w:tc>
        <w:tc>
          <w:tcPr>
            <w:tcW w:w="3312" w:type="dxa"/>
            <w:shd w:val="clear" w:color="auto" w:fill="EEF4F8"/>
          </w:tcPr>
          <w:p w14:paraId="7DEE804D" w14:textId="77777777" w:rsidR="001E77C4" w:rsidRDefault="00857D97">
            <w:pPr>
              <w:spacing w:after="0" w:line="240" w:lineRule="auto"/>
              <w:rPr>
                <w:rFonts w:hint="eastAsia"/>
                <w:color w:val="365F91" w:themeColor="accent1" w:themeShade="BF"/>
                <w:sz w:val="18"/>
              </w:rPr>
            </w:pPr>
            <w:r>
              <w:rPr>
                <w:color w:val="365F91" w:themeColor="accent1" w:themeShade="BF"/>
                <w:sz w:val="18"/>
              </w:rPr>
              <w:t>Test price, discount, and value messaging by category.</w:t>
            </w:r>
          </w:p>
        </w:tc>
      </w:tr>
      <w:tr w:rsidR="001E77C4" w14:paraId="082092BD" w14:textId="77777777">
        <w:tc>
          <w:tcPr>
            <w:tcW w:w="3312" w:type="dxa"/>
            <w:tcBorders>
              <w:bottom w:val="single" w:sz="8" w:space="0" w:color="4F81BD"/>
            </w:tcBorders>
            <w:shd w:val="clear" w:color="auto" w:fill="D3DFEE"/>
          </w:tcPr>
          <w:p w14:paraId="0C0E342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Forecast</w:t>
            </w:r>
          </w:p>
        </w:tc>
        <w:tc>
          <w:tcPr>
            <w:tcW w:w="3312" w:type="dxa"/>
            <w:tcBorders>
              <w:bottom w:val="single" w:sz="8" w:space="0" w:color="4F81BD"/>
            </w:tcBorders>
            <w:shd w:val="clear" w:color="auto" w:fill="D3DFEE"/>
          </w:tcPr>
          <w:p w14:paraId="17F404D4" w14:textId="77777777" w:rsidR="001E77C4" w:rsidRDefault="00857D97">
            <w:pPr>
              <w:spacing w:after="0" w:line="240" w:lineRule="auto"/>
              <w:rPr>
                <w:rFonts w:hint="eastAsia"/>
                <w:color w:val="365F91" w:themeColor="accent1" w:themeShade="BF"/>
                <w:sz w:val="18"/>
              </w:rPr>
            </w:pPr>
            <w:r>
              <w:rPr>
                <w:color w:val="365F91" w:themeColor="accent1" w:themeShade="BF"/>
                <w:sz w:val="18"/>
              </w:rPr>
              <w:t>Baseline order forecast increases over six months</w:t>
            </w:r>
          </w:p>
        </w:tc>
        <w:tc>
          <w:tcPr>
            <w:tcW w:w="3312" w:type="dxa"/>
            <w:tcBorders>
              <w:bottom w:val="single" w:sz="8" w:space="0" w:color="4F81BD"/>
            </w:tcBorders>
            <w:shd w:val="clear" w:color="auto" w:fill="D3DFEE"/>
          </w:tcPr>
          <w:p w14:paraId="0769FD21" w14:textId="77777777" w:rsidR="001E77C4" w:rsidRDefault="00857D97">
            <w:pPr>
              <w:spacing w:after="0" w:line="240" w:lineRule="auto"/>
              <w:rPr>
                <w:rFonts w:hint="eastAsia"/>
                <w:color w:val="365F91" w:themeColor="accent1" w:themeShade="BF"/>
                <w:sz w:val="18"/>
              </w:rPr>
            </w:pPr>
            <w:r>
              <w:rPr>
                <w:color w:val="365F91" w:themeColor="accent1" w:themeShade="BF"/>
                <w:sz w:val="18"/>
              </w:rPr>
              <w:t>Use forecast r</w:t>
            </w:r>
            <w:r>
              <w:rPr>
                <w:color w:val="365F91" w:themeColor="accent1" w:themeShade="BF"/>
                <w:sz w:val="18"/>
              </w:rPr>
              <w:t>anges and monitor error monthly, not a single point estimate.</w:t>
            </w:r>
          </w:p>
        </w:tc>
      </w:tr>
    </w:tbl>
    <w:p w14:paraId="64AA1587" w14:textId="77777777" w:rsidR="001E77C4" w:rsidRDefault="001E77C4">
      <w:pPr>
        <w:rPr>
          <w:rFonts w:hint="eastAsia"/>
        </w:rPr>
      </w:pPr>
    </w:p>
    <w:p w14:paraId="6C08D713" w14:textId="77777777" w:rsidR="001E77C4" w:rsidRDefault="00857D97">
      <w:pPr>
        <w:pStyle w:val="Heading1"/>
      </w:pPr>
      <w:r>
        <w:t>2. Business Problem and Objectives</w:t>
      </w:r>
    </w:p>
    <w:p w14:paraId="2A2FD77C" w14:textId="77777777" w:rsidR="001E77C4" w:rsidRDefault="00857D97">
      <w:pPr>
        <w:spacing w:after="100"/>
        <w:rPr>
          <w:rFonts w:hint="eastAsia"/>
        </w:rPr>
      </w:pPr>
      <w:r>
        <w:t xml:space="preserve">Business problem: an e-commerce team may have sales, customer, marketing, website, and pricing information stored in separate files. Without a </w:t>
      </w:r>
      <w:r>
        <w:t>joined-up analytical approach, it is difficult to know which customers deserve retention investment, which channels bring converting visitors, how demand may change, and whether price changes are improving outcomes.</w:t>
      </w:r>
    </w:p>
    <w:p w14:paraId="086A72F6" w14:textId="77777777" w:rsidR="001E77C4" w:rsidRDefault="00857D97">
      <w:pPr>
        <w:pStyle w:val="Heading2"/>
      </w:pPr>
      <w:r>
        <w:t>Project objectives</w:t>
      </w:r>
    </w:p>
    <w:p w14:paraId="76C902B5" w14:textId="77777777" w:rsidR="001E77C4" w:rsidRDefault="00857D97">
      <w:pPr>
        <w:pStyle w:val="ListBullet"/>
        <w:spacing w:after="40"/>
        <w:rPr>
          <w:rFonts w:hint="eastAsia"/>
        </w:rPr>
      </w:pPr>
      <w:r>
        <w:t>Define a data strateg</w:t>
      </w:r>
      <w:r>
        <w:t>y and a repeatable end-to-end analysis process.</w:t>
      </w:r>
    </w:p>
    <w:p w14:paraId="1879D490" w14:textId="77777777" w:rsidR="001E77C4" w:rsidRDefault="00857D97">
      <w:pPr>
        <w:pStyle w:val="ListBullet"/>
        <w:spacing w:after="40"/>
        <w:rPr>
          <w:rFonts w:hint="eastAsia"/>
        </w:rPr>
      </w:pPr>
      <w:r>
        <w:t>Identify quality issues such as missing values, duplicates, invalid dates, inconsistent categories, and impossible quantities or prices.</w:t>
      </w:r>
    </w:p>
    <w:p w14:paraId="14DC6711" w14:textId="77777777" w:rsidR="001E77C4" w:rsidRDefault="00857D97">
      <w:pPr>
        <w:pStyle w:val="ListBullet"/>
        <w:spacing w:after="40"/>
        <w:rPr>
          <w:rFonts w:hint="eastAsia"/>
        </w:rPr>
      </w:pPr>
      <w:proofErr w:type="spellStart"/>
      <w:r>
        <w:t>Analyse</w:t>
      </w:r>
      <w:proofErr w:type="spellEnd"/>
      <w:r>
        <w:t xml:space="preserve"> customer value through recency, frequency, monetary value, and </w:t>
      </w:r>
      <w:r>
        <w:t>actionable segments.</w:t>
      </w:r>
    </w:p>
    <w:p w14:paraId="666AA6FA" w14:textId="77777777" w:rsidR="001E77C4" w:rsidRDefault="00857D97">
      <w:pPr>
        <w:pStyle w:val="ListBullet"/>
        <w:spacing w:after="40"/>
        <w:rPr>
          <w:rFonts w:hint="eastAsia"/>
        </w:rPr>
      </w:pPr>
      <w:r>
        <w:t>Describe order and revenue trends and develop a transparent baseline forecast.</w:t>
      </w:r>
    </w:p>
    <w:p w14:paraId="2494C0AE" w14:textId="77777777" w:rsidR="001E77C4" w:rsidRDefault="00857D97">
      <w:pPr>
        <w:pStyle w:val="ListBullet"/>
        <w:spacing w:after="40"/>
        <w:rPr>
          <w:rFonts w:hint="eastAsia"/>
        </w:rPr>
      </w:pPr>
      <w:r>
        <w:t>Compare acquisition channels using sessions, orders, and conversion rate.</w:t>
      </w:r>
    </w:p>
    <w:p w14:paraId="79B09059" w14:textId="77777777" w:rsidR="001E77C4" w:rsidRDefault="00857D97">
      <w:pPr>
        <w:pStyle w:val="ListBullet"/>
        <w:spacing w:after="40"/>
        <w:rPr>
          <w:rFonts w:hint="eastAsia"/>
        </w:rPr>
      </w:pPr>
      <w:r>
        <w:t>Evaluate price bands alongside conversion and revenue, avoiding unsupported causal</w:t>
      </w:r>
      <w:r>
        <w:t xml:space="preserve"> claims.</w:t>
      </w:r>
    </w:p>
    <w:p w14:paraId="059EAEEE" w14:textId="77777777" w:rsidR="001E77C4" w:rsidRDefault="00857D97">
      <w:pPr>
        <w:pStyle w:val="ListBullet"/>
        <w:spacing w:after="40"/>
        <w:rPr>
          <w:rFonts w:hint="eastAsia"/>
        </w:rPr>
      </w:pPr>
      <w:r>
        <w:t xml:space="preserve">Convert findings into </w:t>
      </w:r>
      <w:proofErr w:type="spellStart"/>
      <w:r>
        <w:t>prioritised</w:t>
      </w:r>
      <w:proofErr w:type="spellEnd"/>
      <w:r>
        <w:t>, measurable business recommendations.</w:t>
      </w:r>
    </w:p>
    <w:p w14:paraId="33A99908" w14:textId="77777777" w:rsidR="001E77C4" w:rsidRDefault="00857D97">
      <w:pPr>
        <w:pStyle w:val="Heading2"/>
      </w:pPr>
      <w:r>
        <w:t>Key business questions</w:t>
      </w:r>
    </w:p>
    <w:p w14:paraId="0C60A712" w14:textId="77777777" w:rsidR="001E77C4" w:rsidRDefault="00857D97">
      <w:pPr>
        <w:pStyle w:val="ListBullet"/>
        <w:spacing w:after="40"/>
        <w:rPr>
          <w:rFonts w:hint="eastAsia"/>
        </w:rPr>
      </w:pPr>
      <w:r>
        <w:t>Which customers are most valuable and which may be lapsing?</w:t>
      </w:r>
    </w:p>
    <w:p w14:paraId="72F604E0" w14:textId="77777777" w:rsidR="001E77C4" w:rsidRDefault="00857D97">
      <w:pPr>
        <w:pStyle w:val="ListBullet"/>
        <w:spacing w:after="40"/>
        <w:rPr>
          <w:rFonts w:hint="eastAsia"/>
        </w:rPr>
      </w:pPr>
      <w:r>
        <w:t>When does demand rise or fall, and how should inventory and staffing respond?</w:t>
      </w:r>
    </w:p>
    <w:p w14:paraId="6325ED13" w14:textId="77777777" w:rsidR="001E77C4" w:rsidRDefault="00857D97">
      <w:pPr>
        <w:pStyle w:val="ListBullet"/>
        <w:spacing w:after="40"/>
        <w:rPr>
          <w:rFonts w:hint="eastAsia"/>
        </w:rPr>
      </w:pPr>
      <w:r>
        <w:t>Which acquisit</w:t>
      </w:r>
      <w:r>
        <w:t>ion channels produce visitors who complete purchases?</w:t>
      </w:r>
    </w:p>
    <w:p w14:paraId="4104DABA" w14:textId="77777777" w:rsidR="001E77C4" w:rsidRDefault="00857D97">
      <w:pPr>
        <w:pStyle w:val="ListBullet"/>
        <w:spacing w:after="40"/>
        <w:rPr>
          <w:rFonts w:hint="eastAsia"/>
        </w:rPr>
      </w:pPr>
      <w:r>
        <w:lastRenderedPageBreak/>
        <w:t>Does conversion vary across price bands, and what should be tested next?</w:t>
      </w:r>
    </w:p>
    <w:p w14:paraId="7247EFD4" w14:textId="77777777" w:rsidR="001E77C4" w:rsidRDefault="00857D97">
      <w:pPr>
        <w:pStyle w:val="ListBullet"/>
        <w:spacing w:after="40"/>
        <w:rPr>
          <w:rFonts w:hint="eastAsia"/>
        </w:rPr>
      </w:pPr>
      <w:r>
        <w:t>What data limitations could mislead a decision-maker?</w:t>
      </w:r>
    </w:p>
    <w:p w14:paraId="4CC88530" w14:textId="77777777" w:rsidR="001E77C4" w:rsidRDefault="00857D97">
      <w:pPr>
        <w:rPr>
          <w:rFonts w:hint="eastAsia"/>
        </w:rPr>
      </w:pPr>
      <w:r>
        <w:br w:type="page"/>
      </w:r>
    </w:p>
    <w:p w14:paraId="43AA4EF0" w14:textId="77777777" w:rsidR="001E77C4" w:rsidRDefault="00857D97">
      <w:pPr>
        <w:pStyle w:val="Heading1"/>
        <w:spacing w:before="0"/>
      </w:pPr>
      <w:r>
        <w:lastRenderedPageBreak/>
        <w:t>3. Data Strategy and Project Lifecycle</w:t>
      </w:r>
    </w:p>
    <w:p w14:paraId="77A3387B" w14:textId="77777777" w:rsidR="001E77C4" w:rsidRDefault="00857D97">
      <w:pPr>
        <w:pStyle w:val="Heading2"/>
      </w:pPr>
      <w:r>
        <w:t>3.1 Data sources and proposed data</w:t>
      </w:r>
      <w:r>
        <w:t xml:space="preserve"> model</w:t>
      </w:r>
    </w:p>
    <w:p w14:paraId="4BBACB15" w14:textId="77777777" w:rsidR="001E77C4" w:rsidRDefault="00857D97">
      <w:pPr>
        <w:spacing w:after="100"/>
        <w:rPr>
          <w:rFonts w:hint="eastAsia"/>
        </w:rPr>
      </w:pPr>
      <w:r>
        <w:t xml:space="preserve">A production analysis should combine records using stable keys and documented definitions. Customer IDs connect customer and order records; order IDs connect order headers and line items; session IDs connect web events and attribution data; </w:t>
      </w:r>
      <w:r>
        <w:t>product IDs connect sales to catalogue and pricing information.</w:t>
      </w:r>
    </w:p>
    <w:tbl>
      <w:tblPr>
        <w:tblW w:w="9936" w:type="dxa"/>
        <w:tblInd w:w="-108" w:type="dxa"/>
        <w:tblLayout w:type="fixed"/>
        <w:tblLook w:val="0000" w:firstRow="0" w:lastRow="0" w:firstColumn="0" w:lastColumn="0" w:noHBand="0" w:noVBand="0"/>
      </w:tblPr>
      <w:tblGrid>
        <w:gridCol w:w="3312"/>
        <w:gridCol w:w="3312"/>
        <w:gridCol w:w="3312"/>
      </w:tblGrid>
      <w:tr w:rsidR="001E77C4" w14:paraId="26316FE4" w14:textId="77777777">
        <w:tc>
          <w:tcPr>
            <w:tcW w:w="3312" w:type="dxa"/>
            <w:tcBorders>
              <w:top w:val="single" w:sz="8" w:space="0" w:color="4F81BD"/>
              <w:bottom w:val="single" w:sz="8" w:space="0" w:color="4F81BD"/>
            </w:tcBorders>
            <w:shd w:val="clear" w:color="auto" w:fill="164B73"/>
          </w:tcPr>
          <w:p w14:paraId="580DBCF8" w14:textId="77777777" w:rsidR="001E77C4" w:rsidRDefault="00857D97">
            <w:pPr>
              <w:spacing w:after="0" w:line="240" w:lineRule="auto"/>
              <w:rPr>
                <w:rFonts w:hint="eastAsia"/>
                <w:b/>
                <w:bCs/>
                <w:color w:val="FFFFFF"/>
                <w:sz w:val="18"/>
              </w:rPr>
            </w:pPr>
            <w:r>
              <w:rPr>
                <w:b/>
                <w:bCs/>
                <w:color w:val="FFFFFF"/>
                <w:sz w:val="18"/>
              </w:rPr>
              <w:t>Dataset</w:t>
            </w:r>
          </w:p>
        </w:tc>
        <w:tc>
          <w:tcPr>
            <w:tcW w:w="3312" w:type="dxa"/>
            <w:tcBorders>
              <w:top w:val="single" w:sz="8" w:space="0" w:color="4F81BD"/>
              <w:bottom w:val="single" w:sz="8" w:space="0" w:color="4F81BD"/>
            </w:tcBorders>
            <w:shd w:val="clear" w:color="auto" w:fill="164B73"/>
          </w:tcPr>
          <w:p w14:paraId="221755DB" w14:textId="77777777" w:rsidR="001E77C4" w:rsidRDefault="00857D97">
            <w:pPr>
              <w:spacing w:after="0" w:line="240" w:lineRule="auto"/>
              <w:rPr>
                <w:rFonts w:hint="eastAsia"/>
                <w:b/>
                <w:bCs/>
                <w:color w:val="FFFFFF"/>
                <w:sz w:val="18"/>
              </w:rPr>
            </w:pPr>
            <w:r>
              <w:rPr>
                <w:b/>
                <w:bCs/>
                <w:color w:val="FFFFFF"/>
                <w:sz w:val="18"/>
              </w:rPr>
              <w:t>Typical fields</w:t>
            </w:r>
          </w:p>
        </w:tc>
        <w:tc>
          <w:tcPr>
            <w:tcW w:w="3312" w:type="dxa"/>
            <w:tcBorders>
              <w:top w:val="single" w:sz="8" w:space="0" w:color="4F81BD"/>
              <w:bottom w:val="single" w:sz="8" w:space="0" w:color="4F81BD"/>
            </w:tcBorders>
            <w:shd w:val="clear" w:color="auto" w:fill="164B73"/>
          </w:tcPr>
          <w:p w14:paraId="74456B47" w14:textId="77777777" w:rsidR="001E77C4" w:rsidRDefault="00857D97">
            <w:pPr>
              <w:spacing w:after="0" w:line="240" w:lineRule="auto"/>
              <w:rPr>
                <w:rFonts w:hint="eastAsia"/>
                <w:b/>
                <w:bCs/>
                <w:color w:val="FFFFFF"/>
                <w:sz w:val="18"/>
              </w:rPr>
            </w:pPr>
            <w:r>
              <w:rPr>
                <w:b/>
                <w:bCs/>
                <w:color w:val="FFFFFF"/>
                <w:sz w:val="18"/>
              </w:rPr>
              <w:t>Purpose</w:t>
            </w:r>
          </w:p>
        </w:tc>
      </w:tr>
      <w:tr w:rsidR="001E77C4" w14:paraId="679E52C9" w14:textId="77777777">
        <w:tc>
          <w:tcPr>
            <w:tcW w:w="3312" w:type="dxa"/>
            <w:shd w:val="clear" w:color="auto" w:fill="D3DFEE"/>
          </w:tcPr>
          <w:p w14:paraId="519E434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Customers</w:t>
            </w:r>
          </w:p>
        </w:tc>
        <w:tc>
          <w:tcPr>
            <w:tcW w:w="3312" w:type="dxa"/>
            <w:shd w:val="clear" w:color="auto" w:fill="D3DFEE"/>
          </w:tcPr>
          <w:p w14:paraId="3F882FF8"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customer_id</w:t>
            </w:r>
            <w:proofErr w:type="spellEnd"/>
            <w:r>
              <w:rPr>
                <w:color w:val="365F91" w:themeColor="accent1" w:themeShade="BF"/>
                <w:sz w:val="18"/>
              </w:rPr>
              <w:t xml:space="preserve">, </w:t>
            </w:r>
            <w:proofErr w:type="spellStart"/>
            <w:r>
              <w:rPr>
                <w:color w:val="365F91" w:themeColor="accent1" w:themeShade="BF"/>
                <w:sz w:val="18"/>
              </w:rPr>
              <w:t>signup_date</w:t>
            </w:r>
            <w:proofErr w:type="spellEnd"/>
            <w:r>
              <w:rPr>
                <w:color w:val="365F91" w:themeColor="accent1" w:themeShade="BF"/>
                <w:sz w:val="18"/>
              </w:rPr>
              <w:t xml:space="preserve">, region, </w:t>
            </w:r>
            <w:proofErr w:type="spellStart"/>
            <w:r>
              <w:rPr>
                <w:color w:val="365F91" w:themeColor="accent1" w:themeShade="BF"/>
                <w:sz w:val="18"/>
              </w:rPr>
              <w:t>acquisition_source</w:t>
            </w:r>
            <w:proofErr w:type="spellEnd"/>
          </w:p>
        </w:tc>
        <w:tc>
          <w:tcPr>
            <w:tcW w:w="3312" w:type="dxa"/>
            <w:shd w:val="clear" w:color="auto" w:fill="D3DFEE"/>
          </w:tcPr>
          <w:p w14:paraId="66A51EE0" w14:textId="77777777" w:rsidR="001E77C4" w:rsidRDefault="00857D97">
            <w:pPr>
              <w:spacing w:after="0" w:line="240" w:lineRule="auto"/>
              <w:rPr>
                <w:rFonts w:hint="eastAsia"/>
                <w:color w:val="365F91" w:themeColor="accent1" w:themeShade="BF"/>
                <w:sz w:val="18"/>
              </w:rPr>
            </w:pPr>
            <w:r>
              <w:rPr>
                <w:color w:val="365F91" w:themeColor="accent1" w:themeShade="BF"/>
                <w:sz w:val="18"/>
              </w:rPr>
              <w:t>Customer cohort and profile analysis</w:t>
            </w:r>
          </w:p>
        </w:tc>
      </w:tr>
      <w:tr w:rsidR="001E77C4" w14:paraId="60D36859" w14:textId="77777777">
        <w:tc>
          <w:tcPr>
            <w:tcW w:w="3312" w:type="dxa"/>
            <w:shd w:val="clear" w:color="auto" w:fill="EEF4F8"/>
          </w:tcPr>
          <w:p w14:paraId="3FDAD9F0"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Orders</w:t>
            </w:r>
          </w:p>
        </w:tc>
        <w:tc>
          <w:tcPr>
            <w:tcW w:w="3312" w:type="dxa"/>
            <w:shd w:val="clear" w:color="auto" w:fill="EEF4F8"/>
          </w:tcPr>
          <w:p w14:paraId="49E79BC3"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order_id</w:t>
            </w:r>
            <w:proofErr w:type="spellEnd"/>
            <w:r>
              <w:rPr>
                <w:color w:val="365F91" w:themeColor="accent1" w:themeShade="BF"/>
                <w:sz w:val="18"/>
              </w:rPr>
              <w:t xml:space="preserve">, </w:t>
            </w:r>
            <w:proofErr w:type="spellStart"/>
            <w:r>
              <w:rPr>
                <w:color w:val="365F91" w:themeColor="accent1" w:themeShade="BF"/>
                <w:sz w:val="18"/>
              </w:rPr>
              <w:t>customer_id</w:t>
            </w:r>
            <w:proofErr w:type="spellEnd"/>
            <w:r>
              <w:rPr>
                <w:color w:val="365F91" w:themeColor="accent1" w:themeShade="BF"/>
                <w:sz w:val="18"/>
              </w:rPr>
              <w:t xml:space="preserve">, </w:t>
            </w:r>
            <w:proofErr w:type="spellStart"/>
            <w:r>
              <w:rPr>
                <w:color w:val="365F91" w:themeColor="accent1" w:themeShade="BF"/>
                <w:sz w:val="18"/>
              </w:rPr>
              <w:t>order_date</w:t>
            </w:r>
            <w:proofErr w:type="spellEnd"/>
            <w:r>
              <w:rPr>
                <w:color w:val="365F91" w:themeColor="accent1" w:themeShade="BF"/>
                <w:sz w:val="18"/>
              </w:rPr>
              <w:t xml:space="preserve">, </w:t>
            </w:r>
            <w:proofErr w:type="spellStart"/>
            <w:r>
              <w:rPr>
                <w:color w:val="365F91" w:themeColor="accent1" w:themeShade="BF"/>
                <w:sz w:val="18"/>
              </w:rPr>
              <w:t>order_status</w:t>
            </w:r>
            <w:proofErr w:type="spellEnd"/>
            <w:r>
              <w:rPr>
                <w:color w:val="365F91" w:themeColor="accent1" w:themeShade="BF"/>
                <w:sz w:val="18"/>
              </w:rPr>
              <w:t>, dis</w:t>
            </w:r>
            <w:r>
              <w:rPr>
                <w:color w:val="365F91" w:themeColor="accent1" w:themeShade="BF"/>
                <w:sz w:val="18"/>
              </w:rPr>
              <w:t>count, shipping</w:t>
            </w:r>
          </w:p>
        </w:tc>
        <w:tc>
          <w:tcPr>
            <w:tcW w:w="3312" w:type="dxa"/>
            <w:shd w:val="clear" w:color="auto" w:fill="EEF4F8"/>
          </w:tcPr>
          <w:p w14:paraId="554F5DEE" w14:textId="77777777" w:rsidR="001E77C4" w:rsidRDefault="00857D97">
            <w:pPr>
              <w:spacing w:after="0" w:line="240" w:lineRule="auto"/>
              <w:rPr>
                <w:rFonts w:hint="eastAsia"/>
                <w:color w:val="365F91" w:themeColor="accent1" w:themeShade="BF"/>
                <w:sz w:val="18"/>
              </w:rPr>
            </w:pPr>
            <w:r>
              <w:rPr>
                <w:color w:val="365F91" w:themeColor="accent1" w:themeShade="BF"/>
                <w:sz w:val="18"/>
              </w:rPr>
              <w:t>Order trend and customer purchase history</w:t>
            </w:r>
          </w:p>
        </w:tc>
      </w:tr>
      <w:tr w:rsidR="001E77C4" w14:paraId="11E019C6" w14:textId="77777777">
        <w:tc>
          <w:tcPr>
            <w:tcW w:w="3312" w:type="dxa"/>
            <w:shd w:val="clear" w:color="auto" w:fill="D3DFEE"/>
          </w:tcPr>
          <w:p w14:paraId="295705F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Order items</w:t>
            </w:r>
          </w:p>
        </w:tc>
        <w:tc>
          <w:tcPr>
            <w:tcW w:w="3312" w:type="dxa"/>
            <w:shd w:val="clear" w:color="auto" w:fill="D3DFEE"/>
          </w:tcPr>
          <w:p w14:paraId="0A8C69DD"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order_id</w:t>
            </w:r>
            <w:proofErr w:type="spellEnd"/>
            <w:r>
              <w:rPr>
                <w:color w:val="365F91" w:themeColor="accent1" w:themeShade="BF"/>
                <w:sz w:val="18"/>
              </w:rPr>
              <w:t xml:space="preserve">, </w:t>
            </w:r>
            <w:proofErr w:type="spellStart"/>
            <w:r>
              <w:rPr>
                <w:color w:val="365F91" w:themeColor="accent1" w:themeShade="BF"/>
                <w:sz w:val="18"/>
              </w:rPr>
              <w:t>product_id</w:t>
            </w:r>
            <w:proofErr w:type="spellEnd"/>
            <w:r>
              <w:rPr>
                <w:color w:val="365F91" w:themeColor="accent1" w:themeShade="BF"/>
                <w:sz w:val="18"/>
              </w:rPr>
              <w:t xml:space="preserve">, quantity, </w:t>
            </w:r>
            <w:proofErr w:type="spellStart"/>
            <w:r>
              <w:rPr>
                <w:color w:val="365F91" w:themeColor="accent1" w:themeShade="BF"/>
                <w:sz w:val="18"/>
              </w:rPr>
              <w:t>unit_price</w:t>
            </w:r>
            <w:proofErr w:type="spellEnd"/>
            <w:r>
              <w:rPr>
                <w:color w:val="365F91" w:themeColor="accent1" w:themeShade="BF"/>
                <w:sz w:val="18"/>
              </w:rPr>
              <w:t xml:space="preserve">, </w:t>
            </w:r>
            <w:proofErr w:type="spellStart"/>
            <w:r>
              <w:rPr>
                <w:color w:val="365F91" w:themeColor="accent1" w:themeShade="BF"/>
                <w:sz w:val="18"/>
              </w:rPr>
              <w:t>return_flag</w:t>
            </w:r>
            <w:proofErr w:type="spellEnd"/>
          </w:p>
        </w:tc>
        <w:tc>
          <w:tcPr>
            <w:tcW w:w="3312" w:type="dxa"/>
            <w:shd w:val="clear" w:color="auto" w:fill="D3DFEE"/>
          </w:tcPr>
          <w:p w14:paraId="47C5FF4D" w14:textId="77777777" w:rsidR="001E77C4" w:rsidRDefault="00857D97">
            <w:pPr>
              <w:spacing w:after="0" w:line="240" w:lineRule="auto"/>
              <w:rPr>
                <w:rFonts w:hint="eastAsia"/>
                <w:color w:val="365F91" w:themeColor="accent1" w:themeShade="BF"/>
                <w:sz w:val="18"/>
              </w:rPr>
            </w:pPr>
            <w:r>
              <w:rPr>
                <w:color w:val="365F91" w:themeColor="accent1" w:themeShade="BF"/>
                <w:sz w:val="18"/>
              </w:rPr>
              <w:t>Revenue, units, product mix, returns</w:t>
            </w:r>
          </w:p>
        </w:tc>
      </w:tr>
      <w:tr w:rsidR="001E77C4" w14:paraId="29EC66DE" w14:textId="77777777">
        <w:tc>
          <w:tcPr>
            <w:tcW w:w="3312" w:type="dxa"/>
            <w:shd w:val="clear" w:color="auto" w:fill="EEF4F8"/>
          </w:tcPr>
          <w:p w14:paraId="5D496A8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Web sessions</w:t>
            </w:r>
          </w:p>
        </w:tc>
        <w:tc>
          <w:tcPr>
            <w:tcW w:w="3312" w:type="dxa"/>
            <w:shd w:val="clear" w:color="auto" w:fill="EEF4F8"/>
          </w:tcPr>
          <w:p w14:paraId="64881C86"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session_id</w:t>
            </w:r>
            <w:proofErr w:type="spellEnd"/>
            <w:r>
              <w:rPr>
                <w:color w:val="365F91" w:themeColor="accent1" w:themeShade="BF"/>
                <w:sz w:val="18"/>
              </w:rPr>
              <w:t xml:space="preserve">, channel, </w:t>
            </w:r>
            <w:proofErr w:type="spellStart"/>
            <w:r>
              <w:rPr>
                <w:color w:val="365F91" w:themeColor="accent1" w:themeShade="BF"/>
                <w:sz w:val="18"/>
              </w:rPr>
              <w:t>landing_page</w:t>
            </w:r>
            <w:proofErr w:type="spellEnd"/>
            <w:r>
              <w:rPr>
                <w:color w:val="365F91" w:themeColor="accent1" w:themeShade="BF"/>
                <w:sz w:val="18"/>
              </w:rPr>
              <w:t xml:space="preserve">, device, </w:t>
            </w:r>
            <w:proofErr w:type="spellStart"/>
            <w:r>
              <w:rPr>
                <w:color w:val="365F91" w:themeColor="accent1" w:themeShade="BF"/>
                <w:sz w:val="18"/>
              </w:rPr>
              <w:t>session_date</w:t>
            </w:r>
            <w:proofErr w:type="spellEnd"/>
          </w:p>
        </w:tc>
        <w:tc>
          <w:tcPr>
            <w:tcW w:w="3312" w:type="dxa"/>
            <w:shd w:val="clear" w:color="auto" w:fill="EEF4F8"/>
          </w:tcPr>
          <w:p w14:paraId="54BB20F6"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Traffic and </w:t>
            </w:r>
            <w:r>
              <w:rPr>
                <w:color w:val="365F91" w:themeColor="accent1" w:themeShade="BF"/>
                <w:sz w:val="18"/>
              </w:rPr>
              <w:t>conversion analysis</w:t>
            </w:r>
          </w:p>
        </w:tc>
      </w:tr>
      <w:tr w:rsidR="001E77C4" w14:paraId="53D367D4" w14:textId="77777777">
        <w:tc>
          <w:tcPr>
            <w:tcW w:w="3312" w:type="dxa"/>
            <w:shd w:val="clear" w:color="auto" w:fill="D3DFEE"/>
          </w:tcPr>
          <w:p w14:paraId="6D3322E5"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Product catalogue</w:t>
            </w:r>
          </w:p>
        </w:tc>
        <w:tc>
          <w:tcPr>
            <w:tcW w:w="3312" w:type="dxa"/>
            <w:shd w:val="clear" w:color="auto" w:fill="D3DFEE"/>
          </w:tcPr>
          <w:p w14:paraId="5DCE99A2"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product_id</w:t>
            </w:r>
            <w:proofErr w:type="spellEnd"/>
            <w:r>
              <w:rPr>
                <w:color w:val="365F91" w:themeColor="accent1" w:themeShade="BF"/>
                <w:sz w:val="18"/>
              </w:rPr>
              <w:t xml:space="preserve">, category, </w:t>
            </w:r>
            <w:proofErr w:type="spellStart"/>
            <w:r>
              <w:rPr>
                <w:color w:val="365F91" w:themeColor="accent1" w:themeShade="BF"/>
                <w:sz w:val="18"/>
              </w:rPr>
              <w:t>list_price</w:t>
            </w:r>
            <w:proofErr w:type="spellEnd"/>
            <w:r>
              <w:rPr>
                <w:color w:val="365F91" w:themeColor="accent1" w:themeShade="BF"/>
                <w:sz w:val="18"/>
              </w:rPr>
              <w:t>, cost, stock</w:t>
            </w:r>
          </w:p>
        </w:tc>
        <w:tc>
          <w:tcPr>
            <w:tcW w:w="3312" w:type="dxa"/>
            <w:shd w:val="clear" w:color="auto" w:fill="D3DFEE"/>
          </w:tcPr>
          <w:p w14:paraId="59E8D229" w14:textId="77777777" w:rsidR="001E77C4" w:rsidRDefault="00857D97">
            <w:pPr>
              <w:spacing w:after="0" w:line="240" w:lineRule="auto"/>
              <w:rPr>
                <w:rFonts w:hint="eastAsia"/>
                <w:color w:val="365F91" w:themeColor="accent1" w:themeShade="BF"/>
                <w:sz w:val="18"/>
              </w:rPr>
            </w:pPr>
            <w:r>
              <w:rPr>
                <w:color w:val="365F91" w:themeColor="accent1" w:themeShade="BF"/>
                <w:sz w:val="18"/>
              </w:rPr>
              <w:t>Pricing, margin, and inventory analysis</w:t>
            </w:r>
          </w:p>
        </w:tc>
      </w:tr>
      <w:tr w:rsidR="001E77C4" w14:paraId="66537650" w14:textId="77777777">
        <w:tc>
          <w:tcPr>
            <w:tcW w:w="3312" w:type="dxa"/>
            <w:tcBorders>
              <w:bottom w:val="single" w:sz="8" w:space="0" w:color="4F81BD"/>
            </w:tcBorders>
            <w:shd w:val="clear" w:color="auto" w:fill="EEF4F8"/>
          </w:tcPr>
          <w:p w14:paraId="7043104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Campaigns</w:t>
            </w:r>
          </w:p>
        </w:tc>
        <w:tc>
          <w:tcPr>
            <w:tcW w:w="3312" w:type="dxa"/>
            <w:tcBorders>
              <w:bottom w:val="single" w:sz="8" w:space="0" w:color="4F81BD"/>
            </w:tcBorders>
            <w:shd w:val="clear" w:color="auto" w:fill="EEF4F8"/>
          </w:tcPr>
          <w:p w14:paraId="57D51D1B"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campaign_id</w:t>
            </w:r>
            <w:proofErr w:type="spellEnd"/>
            <w:r>
              <w:rPr>
                <w:color w:val="365F91" w:themeColor="accent1" w:themeShade="BF"/>
                <w:sz w:val="18"/>
              </w:rPr>
              <w:t xml:space="preserve">, spend, impressions, clicks, </w:t>
            </w:r>
            <w:proofErr w:type="spellStart"/>
            <w:r>
              <w:rPr>
                <w:color w:val="365F91" w:themeColor="accent1" w:themeShade="BF"/>
                <w:sz w:val="18"/>
              </w:rPr>
              <w:t>campaign_date</w:t>
            </w:r>
            <w:proofErr w:type="spellEnd"/>
          </w:p>
        </w:tc>
        <w:tc>
          <w:tcPr>
            <w:tcW w:w="3312" w:type="dxa"/>
            <w:tcBorders>
              <w:bottom w:val="single" w:sz="8" w:space="0" w:color="4F81BD"/>
            </w:tcBorders>
            <w:shd w:val="clear" w:color="auto" w:fill="EEF4F8"/>
          </w:tcPr>
          <w:p w14:paraId="25CA8B6C"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CAC, ROAS, and campaign </w:t>
            </w:r>
            <w:proofErr w:type="spellStart"/>
            <w:r>
              <w:rPr>
                <w:color w:val="365F91" w:themeColor="accent1" w:themeShade="BF"/>
                <w:sz w:val="18"/>
              </w:rPr>
              <w:t>optimisation</w:t>
            </w:r>
            <w:proofErr w:type="spellEnd"/>
          </w:p>
        </w:tc>
      </w:tr>
    </w:tbl>
    <w:p w14:paraId="2AEED13A" w14:textId="77777777" w:rsidR="001E77C4" w:rsidRDefault="001E77C4">
      <w:pPr>
        <w:rPr>
          <w:rFonts w:hint="eastAsia"/>
        </w:rPr>
      </w:pPr>
    </w:p>
    <w:p w14:paraId="26DD62B5" w14:textId="77777777" w:rsidR="001E77C4" w:rsidRDefault="00857D97">
      <w:pPr>
        <w:pStyle w:val="Heading2"/>
      </w:pPr>
      <w:r>
        <w:t xml:space="preserve">3.2 Project </w:t>
      </w:r>
      <w:r>
        <w:t>lifecycle</w:t>
      </w:r>
    </w:p>
    <w:p w14:paraId="16207BEB" w14:textId="77777777" w:rsidR="001E77C4" w:rsidRDefault="00857D97">
      <w:pPr>
        <w:pStyle w:val="ListNumber"/>
        <w:spacing w:after="40"/>
        <w:rPr>
          <w:rFonts w:hint="eastAsia"/>
        </w:rPr>
      </w:pPr>
      <w:r>
        <w:t>Define the business questions, decision owners, time period, and KPI definitions.</w:t>
      </w:r>
    </w:p>
    <w:p w14:paraId="773EA8C1" w14:textId="77777777" w:rsidR="001E77C4" w:rsidRDefault="00857D97">
      <w:pPr>
        <w:pStyle w:val="ListNumber"/>
        <w:spacing w:after="40"/>
        <w:rPr>
          <w:rFonts w:hint="eastAsia"/>
        </w:rPr>
      </w:pPr>
      <w:r>
        <w:t>Collect files or database extracts and record source, extraction date, and row counts.</w:t>
      </w:r>
    </w:p>
    <w:p w14:paraId="39DCF1C5" w14:textId="77777777" w:rsidR="001E77C4" w:rsidRDefault="00857D97">
      <w:pPr>
        <w:pStyle w:val="ListNumber"/>
        <w:spacing w:after="40"/>
        <w:rPr>
          <w:rFonts w:hint="eastAsia"/>
        </w:rPr>
      </w:pPr>
      <w:r>
        <w:t xml:space="preserve">Profile the data: schema, types, missingness, duplicates, ranges, and </w:t>
      </w:r>
      <w:r>
        <w:t>category consistency.</w:t>
      </w:r>
    </w:p>
    <w:p w14:paraId="6C33DD91" w14:textId="77777777" w:rsidR="001E77C4" w:rsidRDefault="00857D97">
      <w:pPr>
        <w:pStyle w:val="ListNumber"/>
        <w:spacing w:after="40"/>
        <w:rPr>
          <w:rFonts w:hint="eastAsia"/>
        </w:rPr>
      </w:pPr>
      <w:r>
        <w:t>Clean data using documented rules while preserving raw copies and logging exclusions.</w:t>
      </w:r>
    </w:p>
    <w:p w14:paraId="1CC7FD10" w14:textId="77777777" w:rsidR="001E77C4" w:rsidRDefault="00857D97">
      <w:pPr>
        <w:pStyle w:val="ListNumber"/>
        <w:spacing w:after="40"/>
        <w:rPr>
          <w:rFonts w:hint="eastAsia"/>
        </w:rPr>
      </w:pPr>
      <w:r>
        <w:t>Create analytical tables at a consistent grain (order, order line, customer, or session).</w:t>
      </w:r>
    </w:p>
    <w:p w14:paraId="3F440C2E" w14:textId="77777777" w:rsidR="001E77C4" w:rsidRDefault="00857D97">
      <w:pPr>
        <w:pStyle w:val="ListNumber"/>
        <w:spacing w:after="40"/>
        <w:rPr>
          <w:rFonts w:hint="eastAsia"/>
        </w:rPr>
      </w:pPr>
      <w:r>
        <w:t>Perform exploratory analysis and calculate KPIs and custom</w:t>
      </w:r>
      <w:r>
        <w:t>er segments.</w:t>
      </w:r>
    </w:p>
    <w:p w14:paraId="3094117C" w14:textId="77777777" w:rsidR="001E77C4" w:rsidRDefault="00857D97">
      <w:pPr>
        <w:pStyle w:val="ListNumber"/>
        <w:spacing w:after="40"/>
        <w:rPr>
          <w:rFonts w:hint="eastAsia"/>
        </w:rPr>
      </w:pPr>
      <w:r>
        <w:t>Validate calculations against totals and known business rules.</w:t>
      </w:r>
    </w:p>
    <w:p w14:paraId="3B6F948B" w14:textId="77777777" w:rsidR="001E77C4" w:rsidRDefault="00857D97">
      <w:pPr>
        <w:pStyle w:val="ListNumber"/>
        <w:spacing w:after="40"/>
        <w:rPr>
          <w:rFonts w:hint="eastAsia"/>
        </w:rPr>
      </w:pPr>
      <w:r>
        <w:t>Communicate findings with charts, assumptions, limitations, and recommended actions.</w:t>
      </w:r>
    </w:p>
    <w:p w14:paraId="42A271D0" w14:textId="77777777" w:rsidR="001E77C4" w:rsidRDefault="00857D97">
      <w:pPr>
        <w:pStyle w:val="ListNumber"/>
        <w:spacing w:after="40"/>
        <w:rPr>
          <w:rFonts w:hint="eastAsia"/>
        </w:rPr>
      </w:pPr>
      <w:r>
        <w:t>Monitor KPIs and refresh the analysis on a scheduled basis.</w:t>
      </w:r>
    </w:p>
    <w:p w14:paraId="6CF4FFD1" w14:textId="77777777" w:rsidR="001E77C4" w:rsidRDefault="00857D97">
      <w:pPr>
        <w:pStyle w:val="Heading2"/>
      </w:pPr>
      <w:r>
        <w:t>3.3 Analytical tools</w:t>
      </w:r>
    </w:p>
    <w:p w14:paraId="0E06EB2A" w14:textId="77777777" w:rsidR="001E77C4" w:rsidRDefault="00857D97">
      <w:pPr>
        <w:spacing w:after="100"/>
        <w:rPr>
          <w:rFonts w:hint="eastAsia"/>
        </w:rPr>
      </w:pPr>
      <w:r>
        <w:t>Python is suit</w:t>
      </w:r>
      <w:r>
        <w:t xml:space="preserve">able for a reproducible workflow: Pandas for data manipulation, NumPy for numerical operations, Matplotlib for charts, and scikit-learn or </w:t>
      </w:r>
      <w:proofErr w:type="spellStart"/>
      <w:r>
        <w:t>statsmodels</w:t>
      </w:r>
      <w:proofErr w:type="spellEnd"/>
      <w:r>
        <w:t xml:space="preserve"> for more advanced modelling if the data supports it. A spreadsheet can be used for source review, but tra</w:t>
      </w:r>
      <w:r>
        <w:t>nsformations and final calculations should be scripted where possible so that they can be repeated.</w:t>
      </w:r>
    </w:p>
    <w:p w14:paraId="3A787603" w14:textId="77777777" w:rsidR="001E77C4" w:rsidRDefault="00857D97">
      <w:pPr>
        <w:pStyle w:val="Heading2"/>
      </w:pPr>
      <w:r>
        <w:t>3.4 Data governance</w:t>
      </w:r>
    </w:p>
    <w:p w14:paraId="3A541D11" w14:textId="77777777" w:rsidR="001E77C4" w:rsidRDefault="00857D97">
      <w:pPr>
        <w:spacing w:after="100"/>
        <w:rPr>
          <w:rFonts w:hint="eastAsia"/>
        </w:rPr>
      </w:pPr>
      <w:r>
        <w:t xml:space="preserve">Use only the customer fields required for the stated purpose, restrict access to identifiable data, avoid exposing personal information </w:t>
      </w:r>
      <w:r>
        <w:t>in charts, and define retention rules. Marketing consent and privacy requirements must be respected. Document who owns each dataset and which version of a KPI definition is in use.</w:t>
      </w:r>
    </w:p>
    <w:p w14:paraId="47EBF60F" w14:textId="77777777" w:rsidR="001E77C4" w:rsidRDefault="00857D97">
      <w:pPr>
        <w:rPr>
          <w:rFonts w:hint="eastAsia"/>
        </w:rPr>
      </w:pPr>
      <w:r>
        <w:br w:type="page"/>
      </w:r>
    </w:p>
    <w:p w14:paraId="424B71F8" w14:textId="77777777" w:rsidR="001E77C4" w:rsidRDefault="00857D97">
      <w:pPr>
        <w:pStyle w:val="Heading1"/>
        <w:spacing w:before="0"/>
      </w:pPr>
      <w:r>
        <w:lastRenderedPageBreak/>
        <w:t>4. Data Quality and Preparation</w:t>
      </w:r>
    </w:p>
    <w:p w14:paraId="63600CBC" w14:textId="77777777" w:rsidR="001E77C4" w:rsidRDefault="00857D97">
      <w:pPr>
        <w:spacing w:after="100"/>
        <w:rPr>
          <w:rFonts w:hint="eastAsia"/>
        </w:rPr>
      </w:pPr>
      <w:r>
        <w:t>Analysis quality depends on whether the i</w:t>
      </w:r>
      <w:r>
        <w:t>nput data is complete, valid, consistent, and correctly joined. Cleaning should be evidence-based: do not delete a row only because it looks unusual. First determine whether it is a valid refund, cancelled order, bulk purchase, test transaction, or genuine</w:t>
      </w:r>
      <w:r>
        <w:t xml:space="preserve"> error.</w:t>
      </w:r>
    </w:p>
    <w:p w14:paraId="76D579BC" w14:textId="77777777" w:rsidR="001E77C4" w:rsidRDefault="00857D97">
      <w:pPr>
        <w:pStyle w:val="Heading2"/>
      </w:pPr>
      <w:r>
        <w:t>4.1 Quality checks</w:t>
      </w:r>
    </w:p>
    <w:tbl>
      <w:tblPr>
        <w:tblW w:w="9936" w:type="dxa"/>
        <w:tblInd w:w="-108" w:type="dxa"/>
        <w:tblLayout w:type="fixed"/>
        <w:tblLook w:val="0000" w:firstRow="0" w:lastRow="0" w:firstColumn="0" w:lastColumn="0" w:noHBand="0" w:noVBand="0"/>
      </w:tblPr>
      <w:tblGrid>
        <w:gridCol w:w="3312"/>
        <w:gridCol w:w="3312"/>
        <w:gridCol w:w="3312"/>
      </w:tblGrid>
      <w:tr w:rsidR="001E77C4" w14:paraId="3317CD45" w14:textId="77777777">
        <w:tc>
          <w:tcPr>
            <w:tcW w:w="3312" w:type="dxa"/>
            <w:tcBorders>
              <w:top w:val="single" w:sz="8" w:space="0" w:color="4F81BD"/>
              <w:bottom w:val="single" w:sz="8" w:space="0" w:color="4F81BD"/>
            </w:tcBorders>
            <w:shd w:val="clear" w:color="auto" w:fill="164B73"/>
          </w:tcPr>
          <w:p w14:paraId="76AC21A5" w14:textId="77777777" w:rsidR="001E77C4" w:rsidRDefault="00857D97">
            <w:pPr>
              <w:spacing w:after="0" w:line="240" w:lineRule="auto"/>
              <w:rPr>
                <w:rFonts w:hint="eastAsia"/>
                <w:b/>
                <w:bCs/>
                <w:color w:val="FFFFFF"/>
                <w:sz w:val="18"/>
              </w:rPr>
            </w:pPr>
            <w:r>
              <w:rPr>
                <w:b/>
                <w:bCs/>
                <w:color w:val="FFFFFF"/>
                <w:sz w:val="18"/>
              </w:rPr>
              <w:t>Issue</w:t>
            </w:r>
          </w:p>
        </w:tc>
        <w:tc>
          <w:tcPr>
            <w:tcW w:w="3312" w:type="dxa"/>
            <w:tcBorders>
              <w:top w:val="single" w:sz="8" w:space="0" w:color="4F81BD"/>
              <w:bottom w:val="single" w:sz="8" w:space="0" w:color="4F81BD"/>
            </w:tcBorders>
            <w:shd w:val="clear" w:color="auto" w:fill="164B73"/>
          </w:tcPr>
          <w:p w14:paraId="4493BCFD" w14:textId="77777777" w:rsidR="001E77C4" w:rsidRDefault="00857D97">
            <w:pPr>
              <w:spacing w:after="0" w:line="240" w:lineRule="auto"/>
              <w:rPr>
                <w:rFonts w:hint="eastAsia"/>
                <w:b/>
                <w:bCs/>
                <w:color w:val="FFFFFF"/>
                <w:sz w:val="18"/>
              </w:rPr>
            </w:pPr>
            <w:r>
              <w:rPr>
                <w:b/>
                <w:bCs/>
                <w:color w:val="FFFFFF"/>
                <w:sz w:val="18"/>
              </w:rPr>
              <w:t>Detection method</w:t>
            </w:r>
          </w:p>
        </w:tc>
        <w:tc>
          <w:tcPr>
            <w:tcW w:w="3312" w:type="dxa"/>
            <w:tcBorders>
              <w:top w:val="single" w:sz="8" w:space="0" w:color="4F81BD"/>
              <w:bottom w:val="single" w:sz="8" w:space="0" w:color="4F81BD"/>
            </w:tcBorders>
            <w:shd w:val="clear" w:color="auto" w:fill="164B73"/>
          </w:tcPr>
          <w:p w14:paraId="72C60E19" w14:textId="77777777" w:rsidR="001E77C4" w:rsidRDefault="00857D97">
            <w:pPr>
              <w:spacing w:after="0" w:line="240" w:lineRule="auto"/>
              <w:rPr>
                <w:rFonts w:hint="eastAsia"/>
                <w:b/>
                <w:bCs/>
                <w:color w:val="FFFFFF"/>
                <w:sz w:val="18"/>
              </w:rPr>
            </w:pPr>
            <w:r>
              <w:rPr>
                <w:b/>
                <w:bCs/>
                <w:color w:val="FFFFFF"/>
                <w:sz w:val="18"/>
              </w:rPr>
              <w:t>Recommended treatment</w:t>
            </w:r>
          </w:p>
        </w:tc>
      </w:tr>
      <w:tr w:rsidR="001E77C4" w14:paraId="4DFFC9D1" w14:textId="77777777">
        <w:tc>
          <w:tcPr>
            <w:tcW w:w="3312" w:type="dxa"/>
            <w:shd w:val="clear" w:color="auto" w:fill="D3DFEE"/>
          </w:tcPr>
          <w:p w14:paraId="332A910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Missing identifiers</w:t>
            </w:r>
          </w:p>
        </w:tc>
        <w:tc>
          <w:tcPr>
            <w:tcW w:w="3312" w:type="dxa"/>
            <w:shd w:val="clear" w:color="auto" w:fill="D3DFEE"/>
          </w:tcPr>
          <w:p w14:paraId="030AA5E5"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Count null </w:t>
            </w:r>
            <w:proofErr w:type="spellStart"/>
            <w:r>
              <w:rPr>
                <w:color w:val="365F91" w:themeColor="accent1" w:themeShade="BF"/>
                <w:sz w:val="18"/>
              </w:rPr>
              <w:t>customer_id</w:t>
            </w:r>
            <w:proofErr w:type="spellEnd"/>
            <w:r>
              <w:rPr>
                <w:color w:val="365F91" w:themeColor="accent1" w:themeShade="BF"/>
                <w:sz w:val="18"/>
              </w:rPr>
              <w:t>/</w:t>
            </w:r>
            <w:proofErr w:type="spellStart"/>
            <w:r>
              <w:rPr>
                <w:color w:val="365F91" w:themeColor="accent1" w:themeShade="BF"/>
                <w:sz w:val="18"/>
              </w:rPr>
              <w:t>order_id</w:t>
            </w:r>
            <w:proofErr w:type="spellEnd"/>
            <w:r>
              <w:rPr>
                <w:color w:val="365F91" w:themeColor="accent1" w:themeShade="BF"/>
                <w:sz w:val="18"/>
              </w:rPr>
              <w:t>/</w:t>
            </w:r>
            <w:proofErr w:type="spellStart"/>
            <w:r>
              <w:rPr>
                <w:color w:val="365F91" w:themeColor="accent1" w:themeShade="BF"/>
                <w:sz w:val="18"/>
              </w:rPr>
              <w:t>product_id</w:t>
            </w:r>
            <w:proofErr w:type="spellEnd"/>
          </w:p>
        </w:tc>
        <w:tc>
          <w:tcPr>
            <w:tcW w:w="3312" w:type="dxa"/>
            <w:shd w:val="clear" w:color="auto" w:fill="D3DFEE"/>
          </w:tcPr>
          <w:p w14:paraId="4A8AE854" w14:textId="77777777" w:rsidR="001E77C4" w:rsidRDefault="00857D97">
            <w:pPr>
              <w:spacing w:after="0" w:line="240" w:lineRule="auto"/>
              <w:rPr>
                <w:rFonts w:hint="eastAsia"/>
                <w:color w:val="365F91" w:themeColor="accent1" w:themeShade="BF"/>
                <w:sz w:val="18"/>
              </w:rPr>
            </w:pPr>
            <w:r>
              <w:rPr>
                <w:color w:val="365F91" w:themeColor="accent1" w:themeShade="BF"/>
                <w:sz w:val="18"/>
              </w:rPr>
              <w:t>Exclude from customer-level joins only when the identifier is essential; report the excluded share.</w:t>
            </w:r>
          </w:p>
        </w:tc>
      </w:tr>
      <w:tr w:rsidR="001E77C4" w14:paraId="6F0EA137" w14:textId="77777777">
        <w:tc>
          <w:tcPr>
            <w:tcW w:w="3312" w:type="dxa"/>
            <w:shd w:val="clear" w:color="auto" w:fill="EEF4F8"/>
          </w:tcPr>
          <w:p w14:paraId="68EE259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Duplicate rows</w:t>
            </w:r>
          </w:p>
        </w:tc>
        <w:tc>
          <w:tcPr>
            <w:tcW w:w="3312" w:type="dxa"/>
            <w:shd w:val="clear" w:color="auto" w:fill="EEF4F8"/>
          </w:tcPr>
          <w:p w14:paraId="13255426" w14:textId="77777777" w:rsidR="001E77C4" w:rsidRDefault="00857D97">
            <w:pPr>
              <w:spacing w:after="0" w:line="240" w:lineRule="auto"/>
              <w:rPr>
                <w:rFonts w:hint="eastAsia"/>
                <w:color w:val="365F91" w:themeColor="accent1" w:themeShade="BF"/>
                <w:sz w:val="18"/>
              </w:rPr>
            </w:pPr>
            <w:r>
              <w:rPr>
                <w:color w:val="365F91" w:themeColor="accent1" w:themeShade="BF"/>
                <w:sz w:val="18"/>
              </w:rPr>
              <w:t>Check duplicated primary keys and duplicate line signatures</w:t>
            </w:r>
          </w:p>
        </w:tc>
        <w:tc>
          <w:tcPr>
            <w:tcW w:w="3312" w:type="dxa"/>
            <w:shd w:val="clear" w:color="auto" w:fill="EEF4F8"/>
          </w:tcPr>
          <w:p w14:paraId="1A19E90F" w14:textId="77777777" w:rsidR="001E77C4" w:rsidRDefault="00857D97">
            <w:pPr>
              <w:spacing w:after="0" w:line="240" w:lineRule="auto"/>
              <w:rPr>
                <w:rFonts w:hint="eastAsia"/>
                <w:color w:val="365F91" w:themeColor="accent1" w:themeShade="BF"/>
                <w:sz w:val="18"/>
              </w:rPr>
            </w:pPr>
            <w:r>
              <w:rPr>
                <w:color w:val="365F91" w:themeColor="accent1" w:themeShade="BF"/>
                <w:sz w:val="18"/>
              </w:rPr>
              <w:t>Remove only confirmed duplicates; repeated products within an order may be legitimate.</w:t>
            </w:r>
          </w:p>
        </w:tc>
      </w:tr>
      <w:tr w:rsidR="001E77C4" w14:paraId="68F3D7B9" w14:textId="77777777">
        <w:tc>
          <w:tcPr>
            <w:tcW w:w="3312" w:type="dxa"/>
            <w:shd w:val="clear" w:color="auto" w:fill="D3DFEE"/>
          </w:tcPr>
          <w:p w14:paraId="1F4BA0B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Invalid dates</w:t>
            </w:r>
          </w:p>
        </w:tc>
        <w:tc>
          <w:tcPr>
            <w:tcW w:w="3312" w:type="dxa"/>
            <w:shd w:val="clear" w:color="auto" w:fill="D3DFEE"/>
          </w:tcPr>
          <w:p w14:paraId="3362198D" w14:textId="77777777" w:rsidR="001E77C4" w:rsidRDefault="00857D97">
            <w:pPr>
              <w:spacing w:after="0" w:line="240" w:lineRule="auto"/>
              <w:rPr>
                <w:rFonts w:hint="eastAsia"/>
                <w:color w:val="365F91" w:themeColor="accent1" w:themeShade="BF"/>
                <w:sz w:val="18"/>
              </w:rPr>
            </w:pPr>
            <w:r>
              <w:rPr>
                <w:color w:val="365F91" w:themeColor="accent1" w:themeShade="BF"/>
                <w:sz w:val="18"/>
              </w:rPr>
              <w:t>Parse dates and inspect failures/future dates</w:t>
            </w:r>
          </w:p>
        </w:tc>
        <w:tc>
          <w:tcPr>
            <w:tcW w:w="3312" w:type="dxa"/>
            <w:shd w:val="clear" w:color="auto" w:fill="D3DFEE"/>
          </w:tcPr>
          <w:p w14:paraId="557AF41D"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Correct from source if possible; </w:t>
            </w:r>
            <w:r>
              <w:rPr>
                <w:color w:val="365F91" w:themeColor="accent1" w:themeShade="BF"/>
                <w:sz w:val="18"/>
              </w:rPr>
              <w:t>otherwise quarantine invalid records.</w:t>
            </w:r>
          </w:p>
        </w:tc>
      </w:tr>
      <w:tr w:rsidR="001E77C4" w14:paraId="5DF8F795" w14:textId="77777777">
        <w:tc>
          <w:tcPr>
            <w:tcW w:w="3312" w:type="dxa"/>
            <w:shd w:val="clear" w:color="auto" w:fill="EEF4F8"/>
          </w:tcPr>
          <w:p w14:paraId="6DA7B037"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Negative quantity/price</w:t>
            </w:r>
          </w:p>
        </w:tc>
        <w:tc>
          <w:tcPr>
            <w:tcW w:w="3312" w:type="dxa"/>
            <w:shd w:val="clear" w:color="auto" w:fill="EEF4F8"/>
          </w:tcPr>
          <w:p w14:paraId="55203048" w14:textId="77777777" w:rsidR="001E77C4" w:rsidRDefault="00857D97">
            <w:pPr>
              <w:spacing w:after="0" w:line="240" w:lineRule="auto"/>
              <w:rPr>
                <w:rFonts w:hint="eastAsia"/>
                <w:color w:val="365F91" w:themeColor="accent1" w:themeShade="BF"/>
                <w:sz w:val="18"/>
              </w:rPr>
            </w:pPr>
            <w:r>
              <w:rPr>
                <w:color w:val="365F91" w:themeColor="accent1" w:themeShade="BF"/>
                <w:sz w:val="18"/>
              </w:rPr>
              <w:t>Range checks and business-rule review</w:t>
            </w:r>
          </w:p>
        </w:tc>
        <w:tc>
          <w:tcPr>
            <w:tcW w:w="3312" w:type="dxa"/>
            <w:shd w:val="clear" w:color="auto" w:fill="EEF4F8"/>
          </w:tcPr>
          <w:p w14:paraId="4EE90F33" w14:textId="77777777" w:rsidR="001E77C4" w:rsidRDefault="00857D97">
            <w:pPr>
              <w:spacing w:after="0" w:line="240" w:lineRule="auto"/>
              <w:rPr>
                <w:rFonts w:hint="eastAsia"/>
                <w:color w:val="365F91" w:themeColor="accent1" w:themeShade="BF"/>
                <w:sz w:val="18"/>
              </w:rPr>
            </w:pPr>
            <w:r>
              <w:rPr>
                <w:color w:val="365F91" w:themeColor="accent1" w:themeShade="BF"/>
                <w:sz w:val="18"/>
              </w:rPr>
              <w:t>Determine whether records represent returns/credits before exclusion.</w:t>
            </w:r>
          </w:p>
        </w:tc>
      </w:tr>
      <w:tr w:rsidR="001E77C4" w14:paraId="52940211" w14:textId="77777777">
        <w:tc>
          <w:tcPr>
            <w:tcW w:w="3312" w:type="dxa"/>
            <w:shd w:val="clear" w:color="auto" w:fill="D3DFEE"/>
          </w:tcPr>
          <w:p w14:paraId="333F0A1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Inconsistent categories</w:t>
            </w:r>
          </w:p>
        </w:tc>
        <w:tc>
          <w:tcPr>
            <w:tcW w:w="3312" w:type="dxa"/>
            <w:shd w:val="clear" w:color="auto" w:fill="D3DFEE"/>
          </w:tcPr>
          <w:p w14:paraId="1472CA9B"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Trim whitespace, </w:t>
            </w:r>
            <w:proofErr w:type="spellStart"/>
            <w:r>
              <w:rPr>
                <w:color w:val="365F91" w:themeColor="accent1" w:themeShade="BF"/>
                <w:sz w:val="18"/>
              </w:rPr>
              <w:t>standardise</w:t>
            </w:r>
            <w:proofErr w:type="spellEnd"/>
            <w:r>
              <w:rPr>
                <w:color w:val="365F91" w:themeColor="accent1" w:themeShade="BF"/>
                <w:sz w:val="18"/>
              </w:rPr>
              <w:t xml:space="preserve"> case, map known aliases</w:t>
            </w:r>
          </w:p>
        </w:tc>
        <w:tc>
          <w:tcPr>
            <w:tcW w:w="3312" w:type="dxa"/>
            <w:shd w:val="clear" w:color="auto" w:fill="D3DFEE"/>
          </w:tcPr>
          <w:p w14:paraId="12D36345" w14:textId="77777777" w:rsidR="001E77C4" w:rsidRDefault="00857D97">
            <w:pPr>
              <w:spacing w:after="0" w:line="240" w:lineRule="auto"/>
              <w:rPr>
                <w:rFonts w:hint="eastAsia"/>
                <w:color w:val="365F91" w:themeColor="accent1" w:themeShade="BF"/>
                <w:sz w:val="18"/>
              </w:rPr>
            </w:pPr>
            <w:r>
              <w:rPr>
                <w:color w:val="365F91" w:themeColor="accent1" w:themeShade="BF"/>
                <w:sz w:val="18"/>
              </w:rPr>
              <w:t>Maintai</w:t>
            </w:r>
            <w:r>
              <w:rPr>
                <w:color w:val="365F91" w:themeColor="accent1" w:themeShade="BF"/>
                <w:sz w:val="18"/>
              </w:rPr>
              <w:t>n a mapping table and preserve the original field.</w:t>
            </w:r>
          </w:p>
        </w:tc>
      </w:tr>
      <w:tr w:rsidR="001E77C4" w14:paraId="450E61C3" w14:textId="77777777">
        <w:tc>
          <w:tcPr>
            <w:tcW w:w="3312" w:type="dxa"/>
            <w:shd w:val="clear" w:color="auto" w:fill="EEF4F8"/>
          </w:tcPr>
          <w:p w14:paraId="1320224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Join inflation</w:t>
            </w:r>
          </w:p>
        </w:tc>
        <w:tc>
          <w:tcPr>
            <w:tcW w:w="3312" w:type="dxa"/>
            <w:shd w:val="clear" w:color="auto" w:fill="EEF4F8"/>
          </w:tcPr>
          <w:p w14:paraId="52CF473F"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row counts and revenue before/after joins</w:t>
            </w:r>
          </w:p>
        </w:tc>
        <w:tc>
          <w:tcPr>
            <w:tcW w:w="3312" w:type="dxa"/>
            <w:shd w:val="clear" w:color="auto" w:fill="EEF4F8"/>
          </w:tcPr>
          <w:p w14:paraId="74ED0CBB" w14:textId="77777777" w:rsidR="001E77C4" w:rsidRDefault="00857D97">
            <w:pPr>
              <w:spacing w:after="0" w:line="240" w:lineRule="auto"/>
              <w:rPr>
                <w:rFonts w:hint="eastAsia"/>
                <w:color w:val="365F91" w:themeColor="accent1" w:themeShade="BF"/>
                <w:sz w:val="18"/>
              </w:rPr>
            </w:pPr>
            <w:r>
              <w:rPr>
                <w:color w:val="365F91" w:themeColor="accent1" w:themeShade="BF"/>
                <w:sz w:val="18"/>
              </w:rPr>
              <w:t>Check key uniqueness and join cardinality; aggregate at the correct grain.</w:t>
            </w:r>
          </w:p>
        </w:tc>
      </w:tr>
      <w:tr w:rsidR="001E77C4" w14:paraId="4DE2EDE8" w14:textId="77777777">
        <w:tc>
          <w:tcPr>
            <w:tcW w:w="3312" w:type="dxa"/>
            <w:tcBorders>
              <w:bottom w:val="single" w:sz="8" w:space="0" w:color="4F81BD"/>
            </w:tcBorders>
            <w:shd w:val="clear" w:color="auto" w:fill="D3DFEE"/>
          </w:tcPr>
          <w:p w14:paraId="53C94B2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Outliers</w:t>
            </w:r>
          </w:p>
        </w:tc>
        <w:tc>
          <w:tcPr>
            <w:tcW w:w="3312" w:type="dxa"/>
            <w:tcBorders>
              <w:bottom w:val="single" w:sz="8" w:space="0" w:color="4F81BD"/>
            </w:tcBorders>
            <w:shd w:val="clear" w:color="auto" w:fill="D3DFEE"/>
          </w:tcPr>
          <w:p w14:paraId="6C561FA4" w14:textId="77777777" w:rsidR="001E77C4" w:rsidRDefault="00857D97">
            <w:pPr>
              <w:spacing w:after="0" w:line="240" w:lineRule="auto"/>
              <w:rPr>
                <w:rFonts w:hint="eastAsia"/>
                <w:color w:val="365F91" w:themeColor="accent1" w:themeShade="BF"/>
                <w:sz w:val="18"/>
              </w:rPr>
            </w:pPr>
            <w:r>
              <w:rPr>
                <w:color w:val="365F91" w:themeColor="accent1" w:themeShade="BF"/>
                <w:sz w:val="18"/>
              </w:rPr>
              <w:t>IQR/percentile review and business context</w:t>
            </w:r>
          </w:p>
        </w:tc>
        <w:tc>
          <w:tcPr>
            <w:tcW w:w="3312" w:type="dxa"/>
            <w:tcBorders>
              <w:bottom w:val="single" w:sz="8" w:space="0" w:color="4F81BD"/>
            </w:tcBorders>
            <w:shd w:val="clear" w:color="auto" w:fill="D3DFEE"/>
          </w:tcPr>
          <w:p w14:paraId="3F08C10D" w14:textId="77777777" w:rsidR="001E77C4" w:rsidRDefault="00857D97">
            <w:pPr>
              <w:spacing w:after="0" w:line="240" w:lineRule="auto"/>
              <w:rPr>
                <w:rFonts w:hint="eastAsia"/>
                <w:color w:val="365F91" w:themeColor="accent1" w:themeShade="BF"/>
                <w:sz w:val="18"/>
              </w:rPr>
            </w:pPr>
            <w:r>
              <w:rPr>
                <w:color w:val="365F91" w:themeColor="accent1" w:themeShade="BF"/>
                <w:sz w:val="18"/>
              </w:rPr>
              <w:t>Validate extreme values; do not automatically remove valid high-value orders.</w:t>
            </w:r>
          </w:p>
        </w:tc>
      </w:tr>
    </w:tbl>
    <w:p w14:paraId="15CDC37D" w14:textId="77777777" w:rsidR="001E77C4" w:rsidRDefault="001E77C4">
      <w:pPr>
        <w:rPr>
          <w:rFonts w:hint="eastAsia"/>
        </w:rPr>
      </w:pPr>
    </w:p>
    <w:p w14:paraId="11D13C99" w14:textId="77777777" w:rsidR="001E77C4" w:rsidRDefault="00857D97">
      <w:pPr>
        <w:pStyle w:val="Heading2"/>
      </w:pPr>
      <w:r>
        <w:t>4.2 Suggested preparation sequence</w:t>
      </w:r>
    </w:p>
    <w:p w14:paraId="230E772D" w14:textId="77777777" w:rsidR="001E77C4" w:rsidRDefault="00857D97">
      <w:pPr>
        <w:pStyle w:val="ListNumber"/>
        <w:spacing w:after="40"/>
        <w:rPr>
          <w:rFonts w:hint="eastAsia"/>
        </w:rPr>
      </w:pPr>
      <w:r>
        <w:t>Keep an untouched raw copy and create a dated cleaned version.</w:t>
      </w:r>
    </w:p>
    <w:p w14:paraId="7CFEB8A9" w14:textId="77777777" w:rsidR="001E77C4" w:rsidRDefault="00857D97">
      <w:pPr>
        <w:pStyle w:val="ListNumber"/>
        <w:spacing w:after="40"/>
        <w:rPr>
          <w:rFonts w:hint="eastAsia"/>
        </w:rPr>
      </w:pPr>
      <w:proofErr w:type="spellStart"/>
      <w:r>
        <w:t>Standardise</w:t>
      </w:r>
      <w:proofErr w:type="spellEnd"/>
      <w:r>
        <w:t xml:space="preserve"> column names, data types, whitespace, and category labels.</w:t>
      </w:r>
    </w:p>
    <w:p w14:paraId="52FF17E4" w14:textId="77777777" w:rsidR="001E77C4" w:rsidRDefault="00857D97">
      <w:pPr>
        <w:pStyle w:val="ListNumber"/>
        <w:spacing w:after="40"/>
        <w:rPr>
          <w:rFonts w:hint="eastAsia"/>
        </w:rPr>
      </w:pPr>
      <w:r>
        <w:t>Separat</w:t>
      </w:r>
      <w:r>
        <w:t>e completed, cancelled, refunded, and pending orders before calculating sales.</w:t>
      </w:r>
    </w:p>
    <w:p w14:paraId="1F446045" w14:textId="77777777" w:rsidR="001E77C4" w:rsidRDefault="00857D97">
      <w:pPr>
        <w:pStyle w:val="ListNumber"/>
        <w:spacing w:after="40"/>
        <w:rPr>
          <w:rFonts w:hint="eastAsia"/>
        </w:rPr>
      </w:pPr>
      <w:r>
        <w:t>Calculate line revenue as quantity × unit price, then account for discounts and refunds according to a written rule.</w:t>
      </w:r>
    </w:p>
    <w:p w14:paraId="1D2DF3C3" w14:textId="77777777" w:rsidR="001E77C4" w:rsidRDefault="00857D97">
      <w:pPr>
        <w:pStyle w:val="ListNumber"/>
        <w:spacing w:after="40"/>
        <w:rPr>
          <w:rFonts w:hint="eastAsia"/>
        </w:rPr>
      </w:pPr>
      <w:r>
        <w:t>Create order-level and customer-level tables separately to a</w:t>
      </w:r>
      <w:r>
        <w:t>void counting order lines as orders.</w:t>
      </w:r>
    </w:p>
    <w:p w14:paraId="06ED3844" w14:textId="77777777" w:rsidR="001E77C4" w:rsidRDefault="00857D97">
      <w:pPr>
        <w:pStyle w:val="ListNumber"/>
        <w:spacing w:after="40"/>
        <w:rPr>
          <w:rFonts w:hint="eastAsia"/>
        </w:rPr>
      </w:pPr>
      <w:r>
        <w:t>Check that revenue and order counts reconcile to source totals within documented tolerances.</w:t>
      </w:r>
    </w:p>
    <w:p w14:paraId="55943390" w14:textId="77777777" w:rsidR="001E77C4" w:rsidRDefault="00857D97">
      <w:pPr>
        <w:pStyle w:val="ListNumber"/>
        <w:spacing w:after="40"/>
        <w:rPr>
          <w:rFonts w:hint="eastAsia"/>
        </w:rPr>
      </w:pPr>
      <w:r>
        <w:t>Record every rule, row count before/after, and reason for exclusions.</w:t>
      </w:r>
    </w:p>
    <w:p w14:paraId="318AF142" w14:textId="77777777" w:rsidR="001E77C4" w:rsidRDefault="00857D97">
      <w:pPr>
        <w:pStyle w:val="Heading2"/>
      </w:pPr>
      <w:r>
        <w:t>4.3 Validation controls</w:t>
      </w:r>
    </w:p>
    <w:p w14:paraId="3A563191" w14:textId="77777777" w:rsidR="001E77C4" w:rsidRDefault="00857D97">
      <w:pPr>
        <w:spacing w:after="100"/>
        <w:rPr>
          <w:rFonts w:hint="eastAsia"/>
        </w:rPr>
      </w:pPr>
      <w:r>
        <w:t xml:space="preserve">At minimum, validate that </w:t>
      </w:r>
      <w:r>
        <w:t>each order belongs to one customer, order dates fall within the analysis window, quantities and prices follow known rules, and the sum of line revenue agrees with order totals after discounts and returns. Recompute a small sample manually. If an aggregatio</w:t>
      </w:r>
      <w:r>
        <w:t>n changes the number of orders unexpectedly, investigate before interpreting results.</w:t>
      </w:r>
    </w:p>
    <w:p w14:paraId="17B8512F" w14:textId="77777777" w:rsidR="001E77C4" w:rsidRDefault="00857D97">
      <w:pPr>
        <w:rPr>
          <w:rFonts w:hint="eastAsia"/>
        </w:rPr>
      </w:pPr>
      <w:r>
        <w:br w:type="page"/>
      </w:r>
    </w:p>
    <w:p w14:paraId="150F32D2" w14:textId="77777777" w:rsidR="001E77C4" w:rsidRDefault="00857D97">
      <w:pPr>
        <w:pStyle w:val="Heading1"/>
        <w:spacing w:before="0"/>
      </w:pPr>
      <w:r>
        <w:lastRenderedPageBreak/>
        <w:t>5. Analytical Framework and KPIs</w:t>
      </w:r>
    </w:p>
    <w:tbl>
      <w:tblPr>
        <w:tblW w:w="9936" w:type="dxa"/>
        <w:tblInd w:w="-108" w:type="dxa"/>
        <w:tblLayout w:type="fixed"/>
        <w:tblLook w:val="0000" w:firstRow="0" w:lastRow="0" w:firstColumn="0" w:lastColumn="0" w:noHBand="0" w:noVBand="0"/>
      </w:tblPr>
      <w:tblGrid>
        <w:gridCol w:w="3312"/>
        <w:gridCol w:w="3312"/>
        <w:gridCol w:w="3312"/>
      </w:tblGrid>
      <w:tr w:rsidR="001E77C4" w14:paraId="5F4E499B" w14:textId="77777777">
        <w:tc>
          <w:tcPr>
            <w:tcW w:w="3312" w:type="dxa"/>
            <w:tcBorders>
              <w:top w:val="single" w:sz="8" w:space="0" w:color="4F81BD"/>
              <w:bottom w:val="single" w:sz="8" w:space="0" w:color="4F81BD"/>
            </w:tcBorders>
            <w:shd w:val="clear" w:color="auto" w:fill="164B73"/>
          </w:tcPr>
          <w:p w14:paraId="031D655B" w14:textId="77777777" w:rsidR="001E77C4" w:rsidRDefault="00857D97">
            <w:pPr>
              <w:spacing w:after="0" w:line="240" w:lineRule="auto"/>
              <w:rPr>
                <w:rFonts w:hint="eastAsia"/>
                <w:b/>
                <w:bCs/>
                <w:color w:val="FFFFFF"/>
                <w:sz w:val="18"/>
              </w:rPr>
            </w:pPr>
            <w:r>
              <w:rPr>
                <w:b/>
                <w:bCs/>
                <w:color w:val="FFFFFF"/>
                <w:sz w:val="18"/>
              </w:rPr>
              <w:t>KPI</w:t>
            </w:r>
          </w:p>
        </w:tc>
        <w:tc>
          <w:tcPr>
            <w:tcW w:w="3312" w:type="dxa"/>
            <w:tcBorders>
              <w:top w:val="single" w:sz="8" w:space="0" w:color="4F81BD"/>
              <w:bottom w:val="single" w:sz="8" w:space="0" w:color="4F81BD"/>
            </w:tcBorders>
            <w:shd w:val="clear" w:color="auto" w:fill="164B73"/>
          </w:tcPr>
          <w:p w14:paraId="19C5F6FA" w14:textId="77777777" w:rsidR="001E77C4" w:rsidRDefault="00857D97">
            <w:pPr>
              <w:spacing w:after="0" w:line="240" w:lineRule="auto"/>
              <w:rPr>
                <w:rFonts w:hint="eastAsia"/>
                <w:b/>
                <w:bCs/>
                <w:color w:val="FFFFFF"/>
                <w:sz w:val="18"/>
              </w:rPr>
            </w:pPr>
            <w:r>
              <w:rPr>
                <w:b/>
                <w:bCs/>
                <w:color w:val="FFFFFF"/>
                <w:sz w:val="18"/>
              </w:rPr>
              <w:t>Definition</w:t>
            </w:r>
          </w:p>
        </w:tc>
        <w:tc>
          <w:tcPr>
            <w:tcW w:w="3312" w:type="dxa"/>
            <w:tcBorders>
              <w:top w:val="single" w:sz="8" w:space="0" w:color="4F81BD"/>
              <w:bottom w:val="single" w:sz="8" w:space="0" w:color="4F81BD"/>
            </w:tcBorders>
            <w:shd w:val="clear" w:color="auto" w:fill="164B73"/>
          </w:tcPr>
          <w:p w14:paraId="5AA0A106" w14:textId="77777777" w:rsidR="001E77C4" w:rsidRDefault="00857D97">
            <w:pPr>
              <w:spacing w:after="0" w:line="240" w:lineRule="auto"/>
              <w:rPr>
                <w:rFonts w:hint="eastAsia"/>
                <w:b/>
                <w:bCs/>
                <w:color w:val="FFFFFF"/>
                <w:sz w:val="18"/>
              </w:rPr>
            </w:pPr>
            <w:r>
              <w:rPr>
                <w:b/>
                <w:bCs/>
                <w:color w:val="FFFFFF"/>
                <w:sz w:val="18"/>
              </w:rPr>
              <w:t>Decision supported</w:t>
            </w:r>
          </w:p>
        </w:tc>
      </w:tr>
      <w:tr w:rsidR="001E77C4" w14:paraId="5E6E78C5" w14:textId="77777777">
        <w:tc>
          <w:tcPr>
            <w:tcW w:w="3312" w:type="dxa"/>
            <w:shd w:val="clear" w:color="auto" w:fill="D3DFEE"/>
          </w:tcPr>
          <w:p w14:paraId="596AA4C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Gross sales</w:t>
            </w:r>
          </w:p>
        </w:tc>
        <w:tc>
          <w:tcPr>
            <w:tcW w:w="3312" w:type="dxa"/>
            <w:shd w:val="clear" w:color="auto" w:fill="D3DFEE"/>
          </w:tcPr>
          <w:p w14:paraId="6B3FA46E" w14:textId="77777777" w:rsidR="001E77C4" w:rsidRDefault="00857D97">
            <w:pPr>
              <w:spacing w:after="0" w:line="240" w:lineRule="auto"/>
              <w:rPr>
                <w:rFonts w:hint="eastAsia"/>
                <w:color w:val="365F91" w:themeColor="accent1" w:themeShade="BF"/>
                <w:sz w:val="18"/>
              </w:rPr>
            </w:pPr>
            <w:r>
              <w:rPr>
                <w:color w:val="365F91" w:themeColor="accent1" w:themeShade="BF"/>
                <w:sz w:val="18"/>
              </w:rPr>
              <w:t>Sum of quantity × unit price before deductions</w:t>
            </w:r>
          </w:p>
        </w:tc>
        <w:tc>
          <w:tcPr>
            <w:tcW w:w="3312" w:type="dxa"/>
            <w:shd w:val="clear" w:color="auto" w:fill="D3DFEE"/>
          </w:tcPr>
          <w:p w14:paraId="0393F6C4" w14:textId="77777777" w:rsidR="001E77C4" w:rsidRDefault="00857D97">
            <w:pPr>
              <w:spacing w:after="0" w:line="240" w:lineRule="auto"/>
              <w:rPr>
                <w:rFonts w:hint="eastAsia"/>
                <w:color w:val="365F91" w:themeColor="accent1" w:themeShade="BF"/>
                <w:sz w:val="18"/>
              </w:rPr>
            </w:pPr>
            <w:r>
              <w:rPr>
                <w:color w:val="365F91" w:themeColor="accent1" w:themeShade="BF"/>
                <w:sz w:val="18"/>
              </w:rPr>
              <w:t>Demand and product mix</w:t>
            </w:r>
          </w:p>
        </w:tc>
      </w:tr>
      <w:tr w:rsidR="001E77C4" w14:paraId="306F2A9B" w14:textId="77777777">
        <w:tc>
          <w:tcPr>
            <w:tcW w:w="3312" w:type="dxa"/>
            <w:shd w:val="clear" w:color="auto" w:fill="EEF4F8"/>
          </w:tcPr>
          <w:p w14:paraId="4F1C06E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 xml:space="preserve">Net </w:t>
            </w:r>
            <w:r>
              <w:rPr>
                <w:bCs/>
                <w:color w:val="365F91" w:themeColor="accent1" w:themeShade="BF"/>
                <w:sz w:val="18"/>
              </w:rPr>
              <w:t>revenue</w:t>
            </w:r>
          </w:p>
        </w:tc>
        <w:tc>
          <w:tcPr>
            <w:tcW w:w="3312" w:type="dxa"/>
            <w:shd w:val="clear" w:color="auto" w:fill="EEF4F8"/>
          </w:tcPr>
          <w:p w14:paraId="014227B0" w14:textId="77777777" w:rsidR="001E77C4" w:rsidRDefault="00857D97">
            <w:pPr>
              <w:spacing w:after="0" w:line="240" w:lineRule="auto"/>
              <w:rPr>
                <w:rFonts w:hint="eastAsia"/>
                <w:color w:val="365F91" w:themeColor="accent1" w:themeShade="BF"/>
                <w:sz w:val="18"/>
              </w:rPr>
            </w:pPr>
            <w:r>
              <w:rPr>
                <w:color w:val="365F91" w:themeColor="accent1" w:themeShade="BF"/>
                <w:sz w:val="18"/>
              </w:rPr>
              <w:t>Gross sales − discounts − refunds/returns, based on documented policy</w:t>
            </w:r>
          </w:p>
        </w:tc>
        <w:tc>
          <w:tcPr>
            <w:tcW w:w="3312" w:type="dxa"/>
            <w:shd w:val="clear" w:color="auto" w:fill="EEF4F8"/>
          </w:tcPr>
          <w:p w14:paraId="61F934E5"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Commercial performance</w:t>
            </w:r>
          </w:p>
        </w:tc>
      </w:tr>
      <w:tr w:rsidR="001E77C4" w14:paraId="7EDD530A" w14:textId="77777777">
        <w:tc>
          <w:tcPr>
            <w:tcW w:w="3312" w:type="dxa"/>
            <w:shd w:val="clear" w:color="auto" w:fill="D3DFEE"/>
          </w:tcPr>
          <w:p w14:paraId="33C2537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Orders</w:t>
            </w:r>
          </w:p>
        </w:tc>
        <w:tc>
          <w:tcPr>
            <w:tcW w:w="3312" w:type="dxa"/>
            <w:shd w:val="clear" w:color="auto" w:fill="D3DFEE"/>
          </w:tcPr>
          <w:p w14:paraId="41084622" w14:textId="77777777" w:rsidR="001E77C4" w:rsidRDefault="00857D97">
            <w:pPr>
              <w:spacing w:after="0" w:line="240" w:lineRule="auto"/>
              <w:rPr>
                <w:rFonts w:hint="eastAsia"/>
                <w:color w:val="365F91" w:themeColor="accent1" w:themeShade="BF"/>
                <w:sz w:val="18"/>
              </w:rPr>
            </w:pPr>
            <w:r>
              <w:rPr>
                <w:color w:val="365F91" w:themeColor="accent1" w:themeShade="BF"/>
                <w:sz w:val="18"/>
              </w:rPr>
              <w:t>Count of distinct completed order IDs</w:t>
            </w:r>
          </w:p>
        </w:tc>
        <w:tc>
          <w:tcPr>
            <w:tcW w:w="3312" w:type="dxa"/>
            <w:shd w:val="clear" w:color="auto" w:fill="D3DFEE"/>
          </w:tcPr>
          <w:p w14:paraId="75775AA5" w14:textId="77777777" w:rsidR="001E77C4" w:rsidRDefault="00857D97">
            <w:pPr>
              <w:spacing w:after="0" w:line="240" w:lineRule="auto"/>
              <w:rPr>
                <w:rFonts w:hint="eastAsia"/>
                <w:color w:val="365F91" w:themeColor="accent1" w:themeShade="BF"/>
                <w:sz w:val="18"/>
              </w:rPr>
            </w:pPr>
            <w:r>
              <w:rPr>
                <w:color w:val="365F91" w:themeColor="accent1" w:themeShade="BF"/>
                <w:sz w:val="18"/>
              </w:rPr>
              <w:t>Demand volume</w:t>
            </w:r>
          </w:p>
        </w:tc>
      </w:tr>
      <w:tr w:rsidR="001E77C4" w14:paraId="1A89112F" w14:textId="77777777">
        <w:tc>
          <w:tcPr>
            <w:tcW w:w="3312" w:type="dxa"/>
            <w:shd w:val="clear" w:color="auto" w:fill="EEF4F8"/>
          </w:tcPr>
          <w:p w14:paraId="0BC7A471"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Average order value (AOV)</w:t>
            </w:r>
          </w:p>
        </w:tc>
        <w:tc>
          <w:tcPr>
            <w:tcW w:w="3312" w:type="dxa"/>
            <w:shd w:val="clear" w:color="auto" w:fill="EEF4F8"/>
          </w:tcPr>
          <w:p w14:paraId="04FC35A2" w14:textId="77777777" w:rsidR="001E77C4" w:rsidRDefault="00857D97">
            <w:pPr>
              <w:spacing w:after="0" w:line="240" w:lineRule="auto"/>
              <w:rPr>
                <w:rFonts w:hint="eastAsia"/>
                <w:color w:val="365F91" w:themeColor="accent1" w:themeShade="BF"/>
                <w:sz w:val="18"/>
              </w:rPr>
            </w:pPr>
            <w:r>
              <w:rPr>
                <w:color w:val="365F91" w:themeColor="accent1" w:themeShade="BF"/>
                <w:sz w:val="18"/>
              </w:rPr>
              <w:t>Net revenue ÷ completed orders</w:t>
            </w:r>
          </w:p>
        </w:tc>
        <w:tc>
          <w:tcPr>
            <w:tcW w:w="3312" w:type="dxa"/>
            <w:shd w:val="clear" w:color="auto" w:fill="EEF4F8"/>
          </w:tcPr>
          <w:p w14:paraId="5AA22C44"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Basket-building and </w:t>
            </w:r>
            <w:r>
              <w:rPr>
                <w:color w:val="365F91" w:themeColor="accent1" w:themeShade="BF"/>
                <w:sz w:val="18"/>
              </w:rPr>
              <w:t>promotion evaluation</w:t>
            </w:r>
          </w:p>
        </w:tc>
      </w:tr>
      <w:tr w:rsidR="001E77C4" w14:paraId="37EC0994" w14:textId="77777777">
        <w:tc>
          <w:tcPr>
            <w:tcW w:w="3312" w:type="dxa"/>
            <w:shd w:val="clear" w:color="auto" w:fill="D3DFEE"/>
          </w:tcPr>
          <w:p w14:paraId="176501CE"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Repeat purchase rate</w:t>
            </w:r>
          </w:p>
        </w:tc>
        <w:tc>
          <w:tcPr>
            <w:tcW w:w="3312" w:type="dxa"/>
            <w:shd w:val="clear" w:color="auto" w:fill="D3DFEE"/>
          </w:tcPr>
          <w:p w14:paraId="19030B7D" w14:textId="77777777" w:rsidR="001E77C4" w:rsidRDefault="00857D97">
            <w:pPr>
              <w:spacing w:after="0" w:line="240" w:lineRule="auto"/>
              <w:rPr>
                <w:rFonts w:hint="eastAsia"/>
                <w:color w:val="365F91" w:themeColor="accent1" w:themeShade="BF"/>
                <w:sz w:val="18"/>
              </w:rPr>
            </w:pPr>
            <w:r>
              <w:rPr>
                <w:color w:val="365F91" w:themeColor="accent1" w:themeShade="BF"/>
                <w:sz w:val="18"/>
              </w:rPr>
              <w:t>Customers with 2+ completed orders ÷ purchasing customers</w:t>
            </w:r>
          </w:p>
        </w:tc>
        <w:tc>
          <w:tcPr>
            <w:tcW w:w="3312" w:type="dxa"/>
            <w:shd w:val="clear" w:color="auto" w:fill="D3DFEE"/>
          </w:tcPr>
          <w:p w14:paraId="24DC711C" w14:textId="77777777" w:rsidR="001E77C4" w:rsidRDefault="00857D97">
            <w:pPr>
              <w:spacing w:after="0" w:line="240" w:lineRule="auto"/>
              <w:rPr>
                <w:rFonts w:hint="eastAsia"/>
                <w:color w:val="365F91" w:themeColor="accent1" w:themeShade="BF"/>
                <w:sz w:val="18"/>
              </w:rPr>
            </w:pPr>
            <w:r>
              <w:rPr>
                <w:color w:val="365F91" w:themeColor="accent1" w:themeShade="BF"/>
                <w:sz w:val="18"/>
              </w:rPr>
              <w:t>Retention effectiveness</w:t>
            </w:r>
          </w:p>
        </w:tc>
      </w:tr>
      <w:tr w:rsidR="001E77C4" w14:paraId="5A9A8101" w14:textId="77777777">
        <w:tc>
          <w:tcPr>
            <w:tcW w:w="3312" w:type="dxa"/>
            <w:shd w:val="clear" w:color="auto" w:fill="EEF4F8"/>
          </w:tcPr>
          <w:p w14:paraId="7538346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Conversion rate</w:t>
            </w:r>
          </w:p>
        </w:tc>
        <w:tc>
          <w:tcPr>
            <w:tcW w:w="3312" w:type="dxa"/>
            <w:shd w:val="clear" w:color="auto" w:fill="EEF4F8"/>
          </w:tcPr>
          <w:p w14:paraId="083F31C2"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Completed orders ÷ eligible sessions × 100</w:t>
            </w:r>
          </w:p>
        </w:tc>
        <w:tc>
          <w:tcPr>
            <w:tcW w:w="3312" w:type="dxa"/>
            <w:shd w:val="clear" w:color="auto" w:fill="EEF4F8"/>
          </w:tcPr>
          <w:p w14:paraId="7B6486F6" w14:textId="77777777" w:rsidR="001E77C4" w:rsidRDefault="00857D97">
            <w:pPr>
              <w:spacing w:after="0" w:line="240" w:lineRule="auto"/>
              <w:rPr>
                <w:rFonts w:hint="eastAsia"/>
                <w:color w:val="365F91" w:themeColor="accent1" w:themeShade="BF"/>
                <w:sz w:val="18"/>
              </w:rPr>
            </w:pPr>
            <w:r>
              <w:rPr>
                <w:color w:val="365F91" w:themeColor="accent1" w:themeShade="BF"/>
                <w:sz w:val="18"/>
              </w:rPr>
              <w:t>Website and channel efficiency</w:t>
            </w:r>
          </w:p>
        </w:tc>
      </w:tr>
      <w:tr w:rsidR="001E77C4" w14:paraId="11EFC004" w14:textId="77777777">
        <w:tc>
          <w:tcPr>
            <w:tcW w:w="3312" w:type="dxa"/>
            <w:shd w:val="clear" w:color="auto" w:fill="D3DFEE"/>
          </w:tcPr>
          <w:p w14:paraId="7453E41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Average order frequency</w:t>
            </w:r>
          </w:p>
        </w:tc>
        <w:tc>
          <w:tcPr>
            <w:tcW w:w="3312" w:type="dxa"/>
            <w:shd w:val="clear" w:color="auto" w:fill="D3DFEE"/>
          </w:tcPr>
          <w:p w14:paraId="516259AA"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Completed orders ÷ purchasing customers</w:t>
            </w:r>
          </w:p>
        </w:tc>
        <w:tc>
          <w:tcPr>
            <w:tcW w:w="3312" w:type="dxa"/>
            <w:shd w:val="clear" w:color="auto" w:fill="D3DFEE"/>
          </w:tcPr>
          <w:p w14:paraId="4516ACCB" w14:textId="77777777" w:rsidR="001E77C4" w:rsidRDefault="00857D97">
            <w:pPr>
              <w:spacing w:after="0" w:line="240" w:lineRule="auto"/>
              <w:rPr>
                <w:rFonts w:hint="eastAsia"/>
                <w:color w:val="365F91" w:themeColor="accent1" w:themeShade="BF"/>
                <w:sz w:val="18"/>
              </w:rPr>
            </w:pPr>
            <w:r>
              <w:rPr>
                <w:color w:val="365F91" w:themeColor="accent1" w:themeShade="BF"/>
                <w:sz w:val="18"/>
              </w:rPr>
              <w:t>Purchase intensity</w:t>
            </w:r>
          </w:p>
        </w:tc>
      </w:tr>
      <w:tr w:rsidR="001E77C4" w14:paraId="3E830969" w14:textId="77777777">
        <w:tc>
          <w:tcPr>
            <w:tcW w:w="3312" w:type="dxa"/>
            <w:shd w:val="clear" w:color="auto" w:fill="EEF4F8"/>
          </w:tcPr>
          <w:p w14:paraId="35A60BE1"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Customer monetary value</w:t>
            </w:r>
          </w:p>
        </w:tc>
        <w:tc>
          <w:tcPr>
            <w:tcW w:w="3312" w:type="dxa"/>
            <w:shd w:val="clear" w:color="auto" w:fill="EEF4F8"/>
          </w:tcPr>
          <w:p w14:paraId="3E2299F2"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Net customer </w:t>
            </w:r>
            <w:proofErr w:type="gramStart"/>
            <w:r>
              <w:rPr>
                <w:color w:val="365F91" w:themeColor="accent1" w:themeShade="BF"/>
                <w:sz w:val="18"/>
              </w:rPr>
              <w:t>spend</w:t>
            </w:r>
            <w:proofErr w:type="gramEnd"/>
            <w:r>
              <w:rPr>
                <w:color w:val="365F91" w:themeColor="accent1" w:themeShade="BF"/>
                <w:sz w:val="18"/>
              </w:rPr>
              <w:t xml:space="preserve"> during the selected window</w:t>
            </w:r>
          </w:p>
        </w:tc>
        <w:tc>
          <w:tcPr>
            <w:tcW w:w="3312" w:type="dxa"/>
            <w:shd w:val="clear" w:color="auto" w:fill="EEF4F8"/>
          </w:tcPr>
          <w:p w14:paraId="50789F45"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Customer </w:t>
            </w:r>
            <w:proofErr w:type="spellStart"/>
            <w:r>
              <w:rPr>
                <w:color w:val="365F91" w:themeColor="accent1" w:themeShade="BF"/>
                <w:sz w:val="18"/>
              </w:rPr>
              <w:t>prioritisation</w:t>
            </w:r>
            <w:proofErr w:type="spellEnd"/>
          </w:p>
        </w:tc>
      </w:tr>
      <w:tr w:rsidR="001E77C4" w14:paraId="78B13A01" w14:textId="77777777">
        <w:tc>
          <w:tcPr>
            <w:tcW w:w="3312" w:type="dxa"/>
            <w:shd w:val="clear" w:color="auto" w:fill="D3DFEE"/>
          </w:tcPr>
          <w:p w14:paraId="440CD7D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Gross margin</w:t>
            </w:r>
          </w:p>
        </w:tc>
        <w:tc>
          <w:tcPr>
            <w:tcW w:w="3312" w:type="dxa"/>
            <w:shd w:val="clear" w:color="auto" w:fill="D3DFEE"/>
          </w:tcPr>
          <w:p w14:paraId="3BC10CA7" w14:textId="77777777" w:rsidR="001E77C4" w:rsidRDefault="00857D97">
            <w:pPr>
              <w:spacing w:after="0" w:line="240" w:lineRule="auto"/>
              <w:rPr>
                <w:rFonts w:hint="eastAsia"/>
                <w:color w:val="365F91" w:themeColor="accent1" w:themeShade="BF"/>
                <w:sz w:val="18"/>
              </w:rPr>
            </w:pPr>
            <w:r>
              <w:rPr>
                <w:color w:val="365F91" w:themeColor="accent1" w:themeShade="BF"/>
                <w:sz w:val="18"/>
              </w:rPr>
              <w:t>(Net revenue − cost of goods sold) ÷ net revenue</w:t>
            </w:r>
          </w:p>
        </w:tc>
        <w:tc>
          <w:tcPr>
            <w:tcW w:w="3312" w:type="dxa"/>
            <w:shd w:val="clear" w:color="auto" w:fill="D3DFEE"/>
          </w:tcPr>
          <w:p w14:paraId="780F2952" w14:textId="77777777" w:rsidR="001E77C4" w:rsidRDefault="00857D97">
            <w:pPr>
              <w:spacing w:after="0" w:line="240" w:lineRule="auto"/>
              <w:rPr>
                <w:rFonts w:hint="eastAsia"/>
                <w:color w:val="365F91" w:themeColor="accent1" w:themeShade="BF"/>
                <w:sz w:val="18"/>
              </w:rPr>
            </w:pPr>
            <w:r>
              <w:rPr>
                <w:color w:val="365F91" w:themeColor="accent1" w:themeShade="BF"/>
                <w:sz w:val="18"/>
              </w:rPr>
              <w:t>Pricing and profitability</w:t>
            </w:r>
          </w:p>
        </w:tc>
      </w:tr>
      <w:tr w:rsidR="001E77C4" w14:paraId="64DE939A" w14:textId="77777777">
        <w:tc>
          <w:tcPr>
            <w:tcW w:w="3312" w:type="dxa"/>
            <w:shd w:val="clear" w:color="auto" w:fill="EEF4F8"/>
          </w:tcPr>
          <w:p w14:paraId="420B251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CAC</w:t>
            </w:r>
          </w:p>
        </w:tc>
        <w:tc>
          <w:tcPr>
            <w:tcW w:w="3312" w:type="dxa"/>
            <w:shd w:val="clear" w:color="auto" w:fill="EEF4F8"/>
          </w:tcPr>
          <w:p w14:paraId="409A860C" w14:textId="77777777" w:rsidR="001E77C4" w:rsidRDefault="00857D97">
            <w:pPr>
              <w:spacing w:after="0" w:line="240" w:lineRule="auto"/>
              <w:rPr>
                <w:rFonts w:hint="eastAsia"/>
                <w:color w:val="365F91" w:themeColor="accent1" w:themeShade="BF"/>
                <w:sz w:val="18"/>
              </w:rPr>
            </w:pPr>
            <w:r>
              <w:rPr>
                <w:color w:val="365F91" w:themeColor="accent1" w:themeShade="BF"/>
                <w:sz w:val="18"/>
              </w:rPr>
              <w:t>Acquisition spend ÷ new customers attributed to that spend</w:t>
            </w:r>
          </w:p>
        </w:tc>
        <w:tc>
          <w:tcPr>
            <w:tcW w:w="3312" w:type="dxa"/>
            <w:shd w:val="clear" w:color="auto" w:fill="EEF4F8"/>
          </w:tcPr>
          <w:p w14:paraId="03155806" w14:textId="77777777" w:rsidR="001E77C4" w:rsidRDefault="00857D97">
            <w:pPr>
              <w:spacing w:after="0" w:line="240" w:lineRule="auto"/>
              <w:rPr>
                <w:rFonts w:hint="eastAsia"/>
                <w:color w:val="365F91" w:themeColor="accent1" w:themeShade="BF"/>
                <w:sz w:val="18"/>
              </w:rPr>
            </w:pPr>
            <w:r>
              <w:rPr>
                <w:color w:val="365F91" w:themeColor="accent1" w:themeShade="BF"/>
                <w:sz w:val="18"/>
              </w:rPr>
              <w:t>Acquisition efficiency</w:t>
            </w:r>
          </w:p>
        </w:tc>
      </w:tr>
      <w:tr w:rsidR="001E77C4" w14:paraId="3A6AACE2" w14:textId="77777777">
        <w:tc>
          <w:tcPr>
            <w:tcW w:w="3312" w:type="dxa"/>
            <w:tcBorders>
              <w:bottom w:val="single" w:sz="8" w:space="0" w:color="4F81BD"/>
            </w:tcBorders>
            <w:shd w:val="clear" w:color="auto" w:fill="D3DFEE"/>
          </w:tcPr>
          <w:p w14:paraId="49D1685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ROAS</w:t>
            </w:r>
          </w:p>
        </w:tc>
        <w:tc>
          <w:tcPr>
            <w:tcW w:w="3312" w:type="dxa"/>
            <w:tcBorders>
              <w:bottom w:val="single" w:sz="8" w:space="0" w:color="4F81BD"/>
            </w:tcBorders>
            <w:shd w:val="clear" w:color="auto" w:fill="D3DFEE"/>
          </w:tcPr>
          <w:p w14:paraId="019CC9F2" w14:textId="77777777" w:rsidR="001E77C4" w:rsidRDefault="00857D97">
            <w:pPr>
              <w:spacing w:after="0" w:line="240" w:lineRule="auto"/>
              <w:rPr>
                <w:rFonts w:hint="eastAsia"/>
                <w:color w:val="365F91" w:themeColor="accent1" w:themeShade="BF"/>
                <w:sz w:val="18"/>
              </w:rPr>
            </w:pPr>
            <w:r>
              <w:rPr>
                <w:color w:val="365F91" w:themeColor="accent1" w:themeShade="BF"/>
                <w:sz w:val="18"/>
              </w:rPr>
              <w:t>Attributed revenue ÷ advertising spend</w:t>
            </w:r>
          </w:p>
        </w:tc>
        <w:tc>
          <w:tcPr>
            <w:tcW w:w="3312" w:type="dxa"/>
            <w:tcBorders>
              <w:bottom w:val="single" w:sz="8" w:space="0" w:color="4F81BD"/>
            </w:tcBorders>
            <w:shd w:val="clear" w:color="auto" w:fill="D3DFEE"/>
          </w:tcPr>
          <w:p w14:paraId="76FBF172" w14:textId="77777777" w:rsidR="001E77C4" w:rsidRDefault="00857D97">
            <w:pPr>
              <w:spacing w:after="0" w:line="240" w:lineRule="auto"/>
              <w:rPr>
                <w:rFonts w:hint="eastAsia"/>
                <w:color w:val="365F91" w:themeColor="accent1" w:themeShade="BF"/>
                <w:sz w:val="18"/>
              </w:rPr>
            </w:pPr>
            <w:r>
              <w:rPr>
                <w:color w:val="365F91" w:themeColor="accent1" w:themeShade="BF"/>
                <w:sz w:val="18"/>
              </w:rPr>
              <w:t>Campaign return, subject to attribution caveats</w:t>
            </w:r>
          </w:p>
        </w:tc>
      </w:tr>
    </w:tbl>
    <w:p w14:paraId="297732E5" w14:textId="77777777" w:rsidR="001E77C4" w:rsidRDefault="001E77C4">
      <w:pPr>
        <w:rPr>
          <w:rFonts w:hint="eastAsia"/>
        </w:rPr>
      </w:pPr>
    </w:p>
    <w:p w14:paraId="5CE83808" w14:textId="77777777" w:rsidR="001E77C4" w:rsidRDefault="00857D97">
      <w:pPr>
        <w:spacing w:after="100"/>
        <w:rPr>
          <w:rFonts w:hint="eastAsia"/>
        </w:rPr>
      </w:pPr>
      <w:r>
        <w:t xml:space="preserve">Metric definitions must remain consistent across the report. For </w:t>
      </w:r>
      <w:r>
        <w:t>example, conversion rate should specify whether the denominator is sessions, users, or add-to-cart events. Revenue should specify whether taxes, shipping, discounts, and refunds are included. The chosen definition should be documented in the project code a</w:t>
      </w:r>
      <w:r>
        <w:t>nd repeated in dashboard labels.</w:t>
      </w:r>
    </w:p>
    <w:p w14:paraId="53BA77A0" w14:textId="77777777" w:rsidR="001E77C4" w:rsidRDefault="00857D97">
      <w:pPr>
        <w:pStyle w:val="Heading2"/>
      </w:pPr>
      <w:r>
        <w:t>5.1 Descriptive, diagnostic, predictive, and prescriptive analysis</w:t>
      </w:r>
    </w:p>
    <w:tbl>
      <w:tblPr>
        <w:tblW w:w="9936" w:type="dxa"/>
        <w:tblInd w:w="-108" w:type="dxa"/>
        <w:tblLayout w:type="fixed"/>
        <w:tblLook w:val="0000" w:firstRow="0" w:lastRow="0" w:firstColumn="0" w:lastColumn="0" w:noHBand="0" w:noVBand="0"/>
      </w:tblPr>
      <w:tblGrid>
        <w:gridCol w:w="3312"/>
        <w:gridCol w:w="3312"/>
        <w:gridCol w:w="3312"/>
      </w:tblGrid>
      <w:tr w:rsidR="001E77C4" w14:paraId="5FBD689E" w14:textId="77777777">
        <w:tc>
          <w:tcPr>
            <w:tcW w:w="3312" w:type="dxa"/>
            <w:tcBorders>
              <w:top w:val="single" w:sz="8" w:space="0" w:color="4F81BD"/>
              <w:bottom w:val="single" w:sz="8" w:space="0" w:color="4F81BD"/>
            </w:tcBorders>
            <w:shd w:val="clear" w:color="auto" w:fill="164B73"/>
          </w:tcPr>
          <w:p w14:paraId="338C2478" w14:textId="77777777" w:rsidR="001E77C4" w:rsidRDefault="00857D97">
            <w:pPr>
              <w:spacing w:after="0" w:line="240" w:lineRule="auto"/>
              <w:rPr>
                <w:rFonts w:hint="eastAsia"/>
                <w:b/>
                <w:bCs/>
                <w:color w:val="FFFFFF"/>
                <w:sz w:val="18"/>
              </w:rPr>
            </w:pPr>
            <w:r>
              <w:rPr>
                <w:b/>
                <w:bCs/>
                <w:color w:val="FFFFFF"/>
                <w:sz w:val="18"/>
              </w:rPr>
              <w:t>Analysis type</w:t>
            </w:r>
          </w:p>
        </w:tc>
        <w:tc>
          <w:tcPr>
            <w:tcW w:w="3312" w:type="dxa"/>
            <w:tcBorders>
              <w:top w:val="single" w:sz="8" w:space="0" w:color="4F81BD"/>
              <w:bottom w:val="single" w:sz="8" w:space="0" w:color="4F81BD"/>
            </w:tcBorders>
            <w:shd w:val="clear" w:color="auto" w:fill="164B73"/>
          </w:tcPr>
          <w:p w14:paraId="225FE64A" w14:textId="77777777" w:rsidR="001E77C4" w:rsidRDefault="00857D97">
            <w:pPr>
              <w:spacing w:after="0" w:line="240" w:lineRule="auto"/>
              <w:rPr>
                <w:rFonts w:hint="eastAsia"/>
                <w:b/>
                <w:bCs/>
                <w:color w:val="FFFFFF"/>
                <w:sz w:val="18"/>
              </w:rPr>
            </w:pPr>
            <w:r>
              <w:rPr>
                <w:b/>
                <w:bCs/>
                <w:color w:val="FFFFFF"/>
                <w:sz w:val="18"/>
              </w:rPr>
              <w:t>Question</w:t>
            </w:r>
          </w:p>
        </w:tc>
        <w:tc>
          <w:tcPr>
            <w:tcW w:w="3312" w:type="dxa"/>
            <w:tcBorders>
              <w:top w:val="single" w:sz="8" w:space="0" w:color="4F81BD"/>
              <w:bottom w:val="single" w:sz="8" w:space="0" w:color="4F81BD"/>
            </w:tcBorders>
            <w:shd w:val="clear" w:color="auto" w:fill="164B73"/>
          </w:tcPr>
          <w:p w14:paraId="54125E6D" w14:textId="77777777" w:rsidR="001E77C4" w:rsidRDefault="00857D97">
            <w:pPr>
              <w:spacing w:after="0" w:line="240" w:lineRule="auto"/>
              <w:rPr>
                <w:rFonts w:hint="eastAsia"/>
                <w:b/>
                <w:bCs/>
                <w:color w:val="FFFFFF"/>
                <w:sz w:val="18"/>
              </w:rPr>
            </w:pPr>
            <w:r>
              <w:rPr>
                <w:b/>
                <w:bCs/>
                <w:color w:val="FFFFFF"/>
                <w:sz w:val="18"/>
              </w:rPr>
              <w:t>Method used here</w:t>
            </w:r>
          </w:p>
        </w:tc>
      </w:tr>
      <w:tr w:rsidR="001E77C4" w14:paraId="7E1E8BFB" w14:textId="77777777">
        <w:tc>
          <w:tcPr>
            <w:tcW w:w="3312" w:type="dxa"/>
            <w:shd w:val="clear" w:color="auto" w:fill="D3DFEE"/>
          </w:tcPr>
          <w:p w14:paraId="00635A4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Descriptive</w:t>
            </w:r>
          </w:p>
        </w:tc>
        <w:tc>
          <w:tcPr>
            <w:tcW w:w="3312" w:type="dxa"/>
            <w:shd w:val="clear" w:color="auto" w:fill="D3DFEE"/>
          </w:tcPr>
          <w:p w14:paraId="7E8A35D1"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happened?</w:t>
            </w:r>
          </w:p>
        </w:tc>
        <w:tc>
          <w:tcPr>
            <w:tcW w:w="3312" w:type="dxa"/>
            <w:shd w:val="clear" w:color="auto" w:fill="D3DFEE"/>
          </w:tcPr>
          <w:p w14:paraId="173F9AB3" w14:textId="77777777" w:rsidR="001E77C4" w:rsidRDefault="00857D97">
            <w:pPr>
              <w:spacing w:after="0" w:line="240" w:lineRule="auto"/>
              <w:rPr>
                <w:rFonts w:hint="eastAsia"/>
                <w:color w:val="365F91" w:themeColor="accent1" w:themeShade="BF"/>
                <w:sz w:val="18"/>
              </w:rPr>
            </w:pPr>
            <w:r>
              <w:rPr>
                <w:color w:val="365F91" w:themeColor="accent1" w:themeShade="BF"/>
                <w:sz w:val="18"/>
              </w:rPr>
              <w:t>Monthly trends, segment counts, channel conversion</w:t>
            </w:r>
          </w:p>
        </w:tc>
      </w:tr>
      <w:tr w:rsidR="001E77C4" w14:paraId="5A3B069B" w14:textId="77777777">
        <w:tc>
          <w:tcPr>
            <w:tcW w:w="3312" w:type="dxa"/>
            <w:shd w:val="clear" w:color="auto" w:fill="EEF4F8"/>
          </w:tcPr>
          <w:p w14:paraId="74ED1CE8"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Diagnostic</w:t>
            </w:r>
          </w:p>
        </w:tc>
        <w:tc>
          <w:tcPr>
            <w:tcW w:w="3312" w:type="dxa"/>
            <w:shd w:val="clear" w:color="auto" w:fill="EEF4F8"/>
          </w:tcPr>
          <w:p w14:paraId="477AF2E2"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may explain it?</w:t>
            </w:r>
          </w:p>
        </w:tc>
        <w:tc>
          <w:tcPr>
            <w:tcW w:w="3312" w:type="dxa"/>
            <w:shd w:val="clear" w:color="auto" w:fill="EEF4F8"/>
          </w:tcPr>
          <w:p w14:paraId="52C492A8"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seasonality, channel mix, customer segments, and price bands</w:t>
            </w:r>
          </w:p>
        </w:tc>
      </w:tr>
      <w:tr w:rsidR="001E77C4" w14:paraId="75A38C33" w14:textId="77777777">
        <w:tc>
          <w:tcPr>
            <w:tcW w:w="3312" w:type="dxa"/>
            <w:shd w:val="clear" w:color="auto" w:fill="D3DFEE"/>
          </w:tcPr>
          <w:p w14:paraId="25793E67"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Predictive</w:t>
            </w:r>
          </w:p>
        </w:tc>
        <w:tc>
          <w:tcPr>
            <w:tcW w:w="3312" w:type="dxa"/>
            <w:shd w:val="clear" w:color="auto" w:fill="D3DFEE"/>
          </w:tcPr>
          <w:p w14:paraId="375BC3F2"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may happen next?</w:t>
            </w:r>
          </w:p>
        </w:tc>
        <w:tc>
          <w:tcPr>
            <w:tcW w:w="3312" w:type="dxa"/>
            <w:shd w:val="clear" w:color="auto" w:fill="D3DFEE"/>
          </w:tcPr>
          <w:p w14:paraId="5678DC2D" w14:textId="77777777" w:rsidR="001E77C4" w:rsidRDefault="00857D97">
            <w:pPr>
              <w:spacing w:after="0" w:line="240" w:lineRule="auto"/>
              <w:rPr>
                <w:rFonts w:hint="eastAsia"/>
                <w:color w:val="365F91" w:themeColor="accent1" w:themeShade="BF"/>
                <w:sz w:val="18"/>
              </w:rPr>
            </w:pPr>
            <w:r>
              <w:rPr>
                <w:color w:val="365F91" w:themeColor="accent1" w:themeShade="BF"/>
                <w:sz w:val="18"/>
              </w:rPr>
              <w:t>Transparent baseline order forecast</w:t>
            </w:r>
          </w:p>
        </w:tc>
      </w:tr>
      <w:tr w:rsidR="001E77C4" w14:paraId="4682F842" w14:textId="77777777">
        <w:tc>
          <w:tcPr>
            <w:tcW w:w="3312" w:type="dxa"/>
            <w:tcBorders>
              <w:bottom w:val="single" w:sz="8" w:space="0" w:color="4F81BD"/>
            </w:tcBorders>
            <w:shd w:val="clear" w:color="auto" w:fill="EEF4F8"/>
          </w:tcPr>
          <w:p w14:paraId="1E46894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Prescriptive</w:t>
            </w:r>
          </w:p>
        </w:tc>
        <w:tc>
          <w:tcPr>
            <w:tcW w:w="3312" w:type="dxa"/>
            <w:tcBorders>
              <w:bottom w:val="single" w:sz="8" w:space="0" w:color="4F81BD"/>
            </w:tcBorders>
            <w:shd w:val="clear" w:color="auto" w:fill="EEF4F8"/>
          </w:tcPr>
          <w:p w14:paraId="130D08F1" w14:textId="77777777" w:rsidR="001E77C4" w:rsidRDefault="00857D97">
            <w:pPr>
              <w:spacing w:after="0" w:line="240" w:lineRule="auto"/>
              <w:rPr>
                <w:rFonts w:hint="eastAsia"/>
                <w:color w:val="365F91" w:themeColor="accent1" w:themeShade="BF"/>
                <w:sz w:val="18"/>
              </w:rPr>
            </w:pPr>
            <w:r>
              <w:rPr>
                <w:color w:val="365F91" w:themeColor="accent1" w:themeShade="BF"/>
                <w:sz w:val="18"/>
              </w:rPr>
              <w:t>What should we do?</w:t>
            </w:r>
          </w:p>
        </w:tc>
        <w:tc>
          <w:tcPr>
            <w:tcW w:w="3312" w:type="dxa"/>
            <w:tcBorders>
              <w:bottom w:val="single" w:sz="8" w:space="0" w:color="4F81BD"/>
            </w:tcBorders>
            <w:shd w:val="clear" w:color="auto" w:fill="EEF4F8"/>
          </w:tcPr>
          <w:p w14:paraId="761CB61A" w14:textId="77777777" w:rsidR="001E77C4" w:rsidRDefault="00857D97">
            <w:pPr>
              <w:spacing w:after="0" w:line="240" w:lineRule="auto"/>
              <w:rPr>
                <w:rFonts w:hint="eastAsia"/>
                <w:color w:val="365F91" w:themeColor="accent1" w:themeShade="BF"/>
                <w:sz w:val="18"/>
              </w:rPr>
            </w:pPr>
            <w:proofErr w:type="spellStart"/>
            <w:r>
              <w:rPr>
                <w:color w:val="365F91" w:themeColor="accent1" w:themeShade="BF"/>
                <w:sz w:val="18"/>
              </w:rPr>
              <w:t>Prioritised</w:t>
            </w:r>
            <w:proofErr w:type="spellEnd"/>
            <w:r>
              <w:rPr>
                <w:color w:val="365F91" w:themeColor="accent1" w:themeShade="BF"/>
                <w:sz w:val="18"/>
              </w:rPr>
              <w:t xml:space="preserve"> tests and operational actions</w:t>
            </w:r>
          </w:p>
        </w:tc>
      </w:tr>
    </w:tbl>
    <w:p w14:paraId="297ADCB6" w14:textId="77777777" w:rsidR="001E77C4" w:rsidRDefault="001E77C4">
      <w:pPr>
        <w:rPr>
          <w:rFonts w:hint="eastAsia"/>
        </w:rPr>
      </w:pPr>
    </w:p>
    <w:p w14:paraId="6971F8B3" w14:textId="77777777" w:rsidR="001E77C4" w:rsidRDefault="00857D97">
      <w:pPr>
        <w:rPr>
          <w:rFonts w:hint="eastAsia"/>
        </w:rPr>
      </w:pPr>
      <w:r>
        <w:br w:type="page"/>
      </w:r>
    </w:p>
    <w:p w14:paraId="545EC8E9" w14:textId="77777777" w:rsidR="001E77C4" w:rsidRDefault="00857D97">
      <w:pPr>
        <w:pStyle w:val="Heading1"/>
        <w:spacing w:before="0"/>
      </w:pPr>
      <w:r>
        <w:lastRenderedPageBreak/>
        <w:t xml:space="preserve">6. Customer </w:t>
      </w:r>
      <w:proofErr w:type="spellStart"/>
      <w:r>
        <w:t>Behaviour</w:t>
      </w:r>
      <w:proofErr w:type="spellEnd"/>
      <w:r>
        <w:t xml:space="preserve"> and RFM </w:t>
      </w:r>
      <w:r>
        <w:t>Segmentation</w:t>
      </w:r>
    </w:p>
    <w:p w14:paraId="534E8356" w14:textId="77777777" w:rsidR="001E77C4" w:rsidRDefault="00857D97">
      <w:pPr>
        <w:spacing w:after="100"/>
        <w:rPr>
          <w:rFonts w:hint="eastAsia"/>
        </w:rPr>
      </w:pPr>
      <w:r>
        <w:t xml:space="preserve">RFM is a practical customer segmentation method based on three </w:t>
      </w:r>
      <w:proofErr w:type="spellStart"/>
      <w:r>
        <w:t>behavioural</w:t>
      </w:r>
      <w:proofErr w:type="spellEnd"/>
      <w:r>
        <w:t xml:space="preserve"> signals. Recency measures how recently a customer purchased; frequency measures how often they purchased; monetary value measures how much they spent. RFM is useful for</w:t>
      </w:r>
      <w:r>
        <w:t xml:space="preserve"> </w:t>
      </w:r>
      <w:proofErr w:type="spellStart"/>
      <w:r>
        <w:t>prioritising</w:t>
      </w:r>
      <w:proofErr w:type="spellEnd"/>
      <w:r>
        <w:t xml:space="preserve"> communication, but it does not by itself prove customer loyalty or predict future value with certainty.</w:t>
      </w:r>
    </w:p>
    <w:p w14:paraId="06115B47" w14:textId="77777777" w:rsidR="001E77C4" w:rsidRDefault="00857D97">
      <w:pPr>
        <w:pStyle w:val="Heading2"/>
      </w:pPr>
      <w:r>
        <w:t>6.1 RFM calculation</w:t>
      </w:r>
    </w:p>
    <w:p w14:paraId="62E76EE2" w14:textId="77777777" w:rsidR="001E77C4" w:rsidRDefault="00857D97">
      <w:pPr>
        <w:pStyle w:val="ListNumber"/>
        <w:spacing w:after="40"/>
        <w:rPr>
          <w:rFonts w:hint="eastAsia"/>
        </w:rPr>
      </w:pPr>
      <w:r>
        <w:t>Choose a snapshot date after the final transaction date.</w:t>
      </w:r>
    </w:p>
    <w:p w14:paraId="6395C7DD" w14:textId="77777777" w:rsidR="001E77C4" w:rsidRDefault="00857D97">
      <w:pPr>
        <w:pStyle w:val="ListNumber"/>
        <w:spacing w:after="40"/>
        <w:rPr>
          <w:rFonts w:hint="eastAsia"/>
        </w:rPr>
      </w:pPr>
      <w:r>
        <w:t xml:space="preserve">Recency = snapshot date − date of the customer's most </w:t>
      </w:r>
      <w:r>
        <w:t>recent completed purchase, measured in days.</w:t>
      </w:r>
    </w:p>
    <w:p w14:paraId="04215B7B" w14:textId="77777777" w:rsidR="001E77C4" w:rsidRDefault="00857D97">
      <w:pPr>
        <w:pStyle w:val="ListNumber"/>
        <w:spacing w:after="40"/>
        <w:rPr>
          <w:rFonts w:hint="eastAsia"/>
        </w:rPr>
      </w:pPr>
      <w:r>
        <w:t>Frequency = count of distinct completed orders per customer in the analysis window.</w:t>
      </w:r>
    </w:p>
    <w:p w14:paraId="0EBF2A45" w14:textId="77777777" w:rsidR="001E77C4" w:rsidRDefault="00857D97">
      <w:pPr>
        <w:pStyle w:val="ListNumber"/>
        <w:spacing w:after="40"/>
        <w:rPr>
          <w:rFonts w:hint="eastAsia"/>
        </w:rPr>
      </w:pPr>
      <w:r>
        <w:t>Monetary = sum of net revenue attributed to the customer in the analysis window.</w:t>
      </w:r>
    </w:p>
    <w:p w14:paraId="56C54F77" w14:textId="77777777" w:rsidR="001E77C4" w:rsidRDefault="00857D97">
      <w:pPr>
        <w:pStyle w:val="ListNumber"/>
        <w:spacing w:after="40"/>
        <w:rPr>
          <w:rFonts w:hint="eastAsia"/>
        </w:rPr>
      </w:pPr>
      <w:r>
        <w:t xml:space="preserve">Score each measure using documented quantiles </w:t>
      </w:r>
      <w:r>
        <w:t>or business-defined thresholds; ensure that lower recency days receive a better recency score.</w:t>
      </w:r>
    </w:p>
    <w:p w14:paraId="6A865D1F" w14:textId="77777777" w:rsidR="001E77C4" w:rsidRDefault="00857D97">
      <w:pPr>
        <w:pStyle w:val="ListNumber"/>
        <w:spacing w:after="40"/>
        <w:rPr>
          <w:rFonts w:hint="eastAsia"/>
        </w:rPr>
      </w:pPr>
      <w:r>
        <w:t>Combine scores into interpretable groups and review segment sizes and spend before activating campaigns.</w:t>
      </w:r>
    </w:p>
    <w:p w14:paraId="3FAF66BF" w14:textId="77777777" w:rsidR="001E77C4" w:rsidRDefault="00857D97">
      <w:pPr>
        <w:pStyle w:val="Heading2"/>
      </w:pPr>
      <w:r>
        <w:t>6.2 Example segment interpretation</w:t>
      </w:r>
    </w:p>
    <w:p w14:paraId="47058A39" w14:textId="77777777" w:rsidR="001E77C4" w:rsidRDefault="00857D97">
      <w:pPr>
        <w:spacing w:after="40"/>
        <w:jc w:val="center"/>
        <w:rPr>
          <w:rFonts w:hint="eastAsia"/>
        </w:rPr>
      </w:pPr>
      <w:r>
        <w:rPr>
          <w:noProof/>
        </w:rPr>
        <w:drawing>
          <wp:inline distT="0" distB="0" distL="0" distR="0" wp14:anchorId="3B58B62C" wp14:editId="55519225">
            <wp:extent cx="5577840" cy="2868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577840" cy="2868295"/>
                    </a:xfrm>
                    <a:prstGeom prst="rect">
                      <a:avLst/>
                    </a:prstGeom>
                    <a:noFill/>
                  </pic:spPr>
                </pic:pic>
              </a:graphicData>
            </a:graphic>
          </wp:inline>
        </w:drawing>
      </w:r>
    </w:p>
    <w:tbl>
      <w:tblPr>
        <w:tblW w:w="9936" w:type="dxa"/>
        <w:tblInd w:w="-108" w:type="dxa"/>
        <w:tblLayout w:type="fixed"/>
        <w:tblLook w:val="0000" w:firstRow="0" w:lastRow="0" w:firstColumn="0" w:lastColumn="0" w:noHBand="0" w:noVBand="0"/>
      </w:tblPr>
      <w:tblGrid>
        <w:gridCol w:w="3312"/>
        <w:gridCol w:w="3312"/>
        <w:gridCol w:w="3312"/>
      </w:tblGrid>
      <w:tr w:rsidR="001E77C4" w14:paraId="52A1B1CF" w14:textId="77777777">
        <w:tc>
          <w:tcPr>
            <w:tcW w:w="3312" w:type="dxa"/>
            <w:tcBorders>
              <w:top w:val="single" w:sz="8" w:space="0" w:color="4F81BD"/>
              <w:bottom w:val="single" w:sz="8" w:space="0" w:color="4F81BD"/>
            </w:tcBorders>
            <w:shd w:val="clear" w:color="auto" w:fill="164B73"/>
          </w:tcPr>
          <w:p w14:paraId="3A948892" w14:textId="77777777" w:rsidR="001E77C4" w:rsidRDefault="00857D97">
            <w:pPr>
              <w:spacing w:after="0" w:line="240" w:lineRule="auto"/>
              <w:rPr>
                <w:rFonts w:hint="eastAsia"/>
                <w:b/>
                <w:bCs/>
                <w:color w:val="FFFFFF"/>
                <w:sz w:val="18"/>
              </w:rPr>
            </w:pPr>
            <w:r>
              <w:rPr>
                <w:b/>
                <w:bCs/>
                <w:color w:val="FFFFFF"/>
                <w:sz w:val="18"/>
              </w:rPr>
              <w:t>Segment</w:t>
            </w:r>
          </w:p>
        </w:tc>
        <w:tc>
          <w:tcPr>
            <w:tcW w:w="3312" w:type="dxa"/>
            <w:tcBorders>
              <w:top w:val="single" w:sz="8" w:space="0" w:color="4F81BD"/>
              <w:bottom w:val="single" w:sz="8" w:space="0" w:color="4F81BD"/>
            </w:tcBorders>
            <w:shd w:val="clear" w:color="auto" w:fill="164B73"/>
          </w:tcPr>
          <w:p w14:paraId="6F481709" w14:textId="77777777" w:rsidR="001E77C4" w:rsidRDefault="00857D97">
            <w:pPr>
              <w:spacing w:after="0" w:line="240" w:lineRule="auto"/>
              <w:rPr>
                <w:rFonts w:hint="eastAsia"/>
                <w:b/>
                <w:bCs/>
                <w:color w:val="FFFFFF"/>
                <w:sz w:val="18"/>
              </w:rPr>
            </w:pPr>
            <w:r>
              <w:rPr>
                <w:b/>
                <w:bCs/>
                <w:color w:val="FFFFFF"/>
                <w:sz w:val="18"/>
              </w:rPr>
              <w:t xml:space="preserve">Typical </w:t>
            </w:r>
            <w:proofErr w:type="spellStart"/>
            <w:r>
              <w:rPr>
                <w:b/>
                <w:bCs/>
                <w:color w:val="FFFFFF"/>
                <w:sz w:val="18"/>
              </w:rPr>
              <w:t>beh</w:t>
            </w:r>
            <w:r>
              <w:rPr>
                <w:b/>
                <w:bCs/>
                <w:color w:val="FFFFFF"/>
                <w:sz w:val="18"/>
              </w:rPr>
              <w:t>aviour</w:t>
            </w:r>
            <w:proofErr w:type="spellEnd"/>
          </w:p>
        </w:tc>
        <w:tc>
          <w:tcPr>
            <w:tcW w:w="3312" w:type="dxa"/>
            <w:tcBorders>
              <w:top w:val="single" w:sz="8" w:space="0" w:color="4F81BD"/>
              <w:bottom w:val="single" w:sz="8" w:space="0" w:color="4F81BD"/>
            </w:tcBorders>
            <w:shd w:val="clear" w:color="auto" w:fill="164B73"/>
          </w:tcPr>
          <w:p w14:paraId="3BA8B7D8" w14:textId="77777777" w:rsidR="001E77C4" w:rsidRDefault="00857D97">
            <w:pPr>
              <w:spacing w:after="0" w:line="240" w:lineRule="auto"/>
              <w:rPr>
                <w:rFonts w:hint="eastAsia"/>
                <w:b/>
                <w:bCs/>
                <w:color w:val="FFFFFF"/>
                <w:sz w:val="18"/>
              </w:rPr>
            </w:pPr>
            <w:r>
              <w:rPr>
                <w:b/>
                <w:bCs/>
                <w:color w:val="FFFFFF"/>
                <w:sz w:val="18"/>
              </w:rPr>
              <w:t>Suggested action</w:t>
            </w:r>
          </w:p>
        </w:tc>
      </w:tr>
      <w:tr w:rsidR="001E77C4" w14:paraId="1A4BA7D1" w14:textId="77777777">
        <w:tc>
          <w:tcPr>
            <w:tcW w:w="3312" w:type="dxa"/>
            <w:shd w:val="clear" w:color="auto" w:fill="D3DFEE"/>
          </w:tcPr>
          <w:p w14:paraId="202F31F6"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Champions</w:t>
            </w:r>
          </w:p>
        </w:tc>
        <w:tc>
          <w:tcPr>
            <w:tcW w:w="3312" w:type="dxa"/>
            <w:shd w:val="clear" w:color="auto" w:fill="D3DFEE"/>
          </w:tcPr>
          <w:p w14:paraId="4D9C6316" w14:textId="77777777" w:rsidR="001E77C4" w:rsidRDefault="00857D97">
            <w:pPr>
              <w:spacing w:after="0" w:line="240" w:lineRule="auto"/>
              <w:rPr>
                <w:rFonts w:hint="eastAsia"/>
                <w:color w:val="365F91" w:themeColor="accent1" w:themeShade="BF"/>
                <w:sz w:val="18"/>
              </w:rPr>
            </w:pPr>
            <w:r>
              <w:rPr>
                <w:color w:val="365F91" w:themeColor="accent1" w:themeShade="BF"/>
                <w:sz w:val="18"/>
              </w:rPr>
              <w:t>Recent, frequent, high spend</w:t>
            </w:r>
          </w:p>
        </w:tc>
        <w:tc>
          <w:tcPr>
            <w:tcW w:w="3312" w:type="dxa"/>
            <w:shd w:val="clear" w:color="auto" w:fill="D3DFEE"/>
          </w:tcPr>
          <w:p w14:paraId="03923017" w14:textId="77777777" w:rsidR="001E77C4" w:rsidRDefault="00857D97">
            <w:pPr>
              <w:spacing w:after="0" w:line="240" w:lineRule="auto"/>
              <w:rPr>
                <w:rFonts w:hint="eastAsia"/>
                <w:color w:val="365F91" w:themeColor="accent1" w:themeShade="BF"/>
                <w:sz w:val="18"/>
              </w:rPr>
            </w:pPr>
            <w:r>
              <w:rPr>
                <w:color w:val="365F91" w:themeColor="accent1" w:themeShade="BF"/>
                <w:sz w:val="18"/>
              </w:rPr>
              <w:t>Early access, VIP support, referral invitations; avoid unnecessary blanket discounts.</w:t>
            </w:r>
          </w:p>
        </w:tc>
      </w:tr>
      <w:tr w:rsidR="001E77C4" w14:paraId="553C3D26" w14:textId="77777777">
        <w:tc>
          <w:tcPr>
            <w:tcW w:w="3312" w:type="dxa"/>
            <w:shd w:val="clear" w:color="auto" w:fill="EEF4F8"/>
          </w:tcPr>
          <w:p w14:paraId="6371BF0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Loyal Customers</w:t>
            </w:r>
          </w:p>
        </w:tc>
        <w:tc>
          <w:tcPr>
            <w:tcW w:w="3312" w:type="dxa"/>
            <w:shd w:val="clear" w:color="auto" w:fill="EEF4F8"/>
          </w:tcPr>
          <w:p w14:paraId="1DB9B7E0" w14:textId="77777777" w:rsidR="001E77C4" w:rsidRDefault="00857D97">
            <w:pPr>
              <w:spacing w:after="0" w:line="240" w:lineRule="auto"/>
              <w:rPr>
                <w:rFonts w:hint="eastAsia"/>
                <w:color w:val="365F91" w:themeColor="accent1" w:themeShade="BF"/>
                <w:sz w:val="18"/>
              </w:rPr>
            </w:pPr>
            <w:r>
              <w:rPr>
                <w:color w:val="365F91" w:themeColor="accent1" w:themeShade="BF"/>
                <w:sz w:val="18"/>
              </w:rPr>
              <w:t>Repeat buyers with steady spend</w:t>
            </w:r>
          </w:p>
        </w:tc>
        <w:tc>
          <w:tcPr>
            <w:tcW w:w="3312" w:type="dxa"/>
            <w:shd w:val="clear" w:color="auto" w:fill="EEF4F8"/>
          </w:tcPr>
          <w:p w14:paraId="78CFC16C"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Cross-sell relevant products, loyalty benefits, </w:t>
            </w:r>
            <w:r>
              <w:rPr>
                <w:color w:val="365F91" w:themeColor="accent1" w:themeShade="BF"/>
                <w:sz w:val="18"/>
              </w:rPr>
              <w:t>replenishment reminders.</w:t>
            </w:r>
          </w:p>
        </w:tc>
      </w:tr>
      <w:tr w:rsidR="001E77C4" w14:paraId="7A708E10" w14:textId="77777777">
        <w:tc>
          <w:tcPr>
            <w:tcW w:w="3312" w:type="dxa"/>
            <w:shd w:val="clear" w:color="auto" w:fill="D3DFEE"/>
          </w:tcPr>
          <w:p w14:paraId="0302D0D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Potential Loyalists</w:t>
            </w:r>
          </w:p>
        </w:tc>
        <w:tc>
          <w:tcPr>
            <w:tcW w:w="3312" w:type="dxa"/>
            <w:shd w:val="clear" w:color="auto" w:fill="D3DFEE"/>
          </w:tcPr>
          <w:p w14:paraId="1E11BEFD"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Recent customers with room to build repeat </w:t>
            </w:r>
            <w:proofErr w:type="spellStart"/>
            <w:r>
              <w:rPr>
                <w:color w:val="365F91" w:themeColor="accent1" w:themeShade="BF"/>
                <w:sz w:val="18"/>
              </w:rPr>
              <w:t>behaviour</w:t>
            </w:r>
            <w:proofErr w:type="spellEnd"/>
          </w:p>
        </w:tc>
        <w:tc>
          <w:tcPr>
            <w:tcW w:w="3312" w:type="dxa"/>
            <w:shd w:val="clear" w:color="auto" w:fill="D3DFEE"/>
          </w:tcPr>
          <w:p w14:paraId="29D8BA51" w14:textId="77777777" w:rsidR="001E77C4" w:rsidRDefault="00857D97">
            <w:pPr>
              <w:spacing w:after="0" w:line="240" w:lineRule="auto"/>
              <w:rPr>
                <w:rFonts w:hint="eastAsia"/>
                <w:color w:val="365F91" w:themeColor="accent1" w:themeShade="BF"/>
                <w:sz w:val="18"/>
              </w:rPr>
            </w:pPr>
            <w:r>
              <w:rPr>
                <w:color w:val="365F91" w:themeColor="accent1" w:themeShade="BF"/>
                <w:sz w:val="18"/>
              </w:rPr>
              <w:t>Onboarding, recommendations, second-purchase incentive tests.</w:t>
            </w:r>
          </w:p>
        </w:tc>
      </w:tr>
      <w:tr w:rsidR="001E77C4" w14:paraId="3CDCFF17" w14:textId="77777777">
        <w:tc>
          <w:tcPr>
            <w:tcW w:w="3312" w:type="dxa"/>
            <w:shd w:val="clear" w:color="auto" w:fill="EEF4F8"/>
          </w:tcPr>
          <w:p w14:paraId="4B06F77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At Risk</w:t>
            </w:r>
          </w:p>
        </w:tc>
        <w:tc>
          <w:tcPr>
            <w:tcW w:w="3312" w:type="dxa"/>
            <w:shd w:val="clear" w:color="auto" w:fill="EEF4F8"/>
          </w:tcPr>
          <w:p w14:paraId="654F9F29" w14:textId="77777777" w:rsidR="001E77C4" w:rsidRDefault="00857D97">
            <w:pPr>
              <w:spacing w:after="0" w:line="240" w:lineRule="auto"/>
              <w:rPr>
                <w:rFonts w:hint="eastAsia"/>
                <w:color w:val="365F91" w:themeColor="accent1" w:themeShade="BF"/>
                <w:sz w:val="18"/>
              </w:rPr>
            </w:pPr>
            <w:r>
              <w:rPr>
                <w:color w:val="365F91" w:themeColor="accent1" w:themeShade="BF"/>
                <w:sz w:val="18"/>
              </w:rPr>
              <w:t>Previously valuable but not recently active</w:t>
            </w:r>
          </w:p>
        </w:tc>
        <w:tc>
          <w:tcPr>
            <w:tcW w:w="3312" w:type="dxa"/>
            <w:shd w:val="clear" w:color="auto" w:fill="EEF4F8"/>
          </w:tcPr>
          <w:p w14:paraId="3A99E46D" w14:textId="77777777" w:rsidR="001E77C4" w:rsidRDefault="00857D97">
            <w:pPr>
              <w:spacing w:after="0" w:line="240" w:lineRule="auto"/>
              <w:rPr>
                <w:rFonts w:hint="eastAsia"/>
                <w:color w:val="365F91" w:themeColor="accent1" w:themeShade="BF"/>
                <w:sz w:val="18"/>
              </w:rPr>
            </w:pPr>
            <w:r>
              <w:rPr>
                <w:color w:val="365F91" w:themeColor="accent1" w:themeShade="BF"/>
                <w:sz w:val="18"/>
              </w:rPr>
              <w:t>Targeted win-back messaging and service-re</w:t>
            </w:r>
            <w:r>
              <w:rPr>
                <w:color w:val="365F91" w:themeColor="accent1" w:themeShade="BF"/>
                <w:sz w:val="18"/>
              </w:rPr>
              <w:t>covery checks.</w:t>
            </w:r>
          </w:p>
        </w:tc>
      </w:tr>
      <w:tr w:rsidR="001E77C4" w14:paraId="62B561BB" w14:textId="77777777">
        <w:tc>
          <w:tcPr>
            <w:tcW w:w="3312" w:type="dxa"/>
            <w:tcBorders>
              <w:bottom w:val="single" w:sz="8" w:space="0" w:color="4F81BD"/>
            </w:tcBorders>
            <w:shd w:val="clear" w:color="auto" w:fill="D3DFEE"/>
          </w:tcPr>
          <w:p w14:paraId="0532F8D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New Customers</w:t>
            </w:r>
          </w:p>
        </w:tc>
        <w:tc>
          <w:tcPr>
            <w:tcW w:w="3312" w:type="dxa"/>
            <w:tcBorders>
              <w:bottom w:val="single" w:sz="8" w:space="0" w:color="4F81BD"/>
            </w:tcBorders>
            <w:shd w:val="clear" w:color="auto" w:fill="D3DFEE"/>
          </w:tcPr>
          <w:p w14:paraId="0F81F228" w14:textId="77777777" w:rsidR="001E77C4" w:rsidRDefault="00857D97">
            <w:pPr>
              <w:spacing w:after="0" w:line="240" w:lineRule="auto"/>
              <w:rPr>
                <w:rFonts w:hint="eastAsia"/>
                <w:color w:val="365F91" w:themeColor="accent1" w:themeShade="BF"/>
                <w:sz w:val="18"/>
              </w:rPr>
            </w:pPr>
            <w:r>
              <w:rPr>
                <w:color w:val="365F91" w:themeColor="accent1" w:themeShade="BF"/>
                <w:sz w:val="18"/>
              </w:rPr>
              <w:t>Recent first-time or low-frequency buyers</w:t>
            </w:r>
          </w:p>
        </w:tc>
        <w:tc>
          <w:tcPr>
            <w:tcW w:w="3312" w:type="dxa"/>
            <w:tcBorders>
              <w:bottom w:val="single" w:sz="8" w:space="0" w:color="4F81BD"/>
            </w:tcBorders>
            <w:shd w:val="clear" w:color="auto" w:fill="D3DFEE"/>
          </w:tcPr>
          <w:p w14:paraId="0733A108" w14:textId="77777777" w:rsidR="001E77C4" w:rsidRDefault="00857D97">
            <w:pPr>
              <w:spacing w:after="0" w:line="240" w:lineRule="auto"/>
              <w:rPr>
                <w:rFonts w:hint="eastAsia"/>
                <w:color w:val="365F91" w:themeColor="accent1" w:themeShade="BF"/>
                <w:sz w:val="18"/>
              </w:rPr>
            </w:pPr>
            <w:r>
              <w:rPr>
                <w:color w:val="365F91" w:themeColor="accent1" w:themeShade="BF"/>
                <w:sz w:val="18"/>
              </w:rPr>
              <w:t>Post-purchase education, delivery updates, and a clear next-best offer.</w:t>
            </w:r>
          </w:p>
        </w:tc>
      </w:tr>
    </w:tbl>
    <w:p w14:paraId="63733B1E" w14:textId="77777777" w:rsidR="001E77C4" w:rsidRDefault="001E77C4">
      <w:pPr>
        <w:rPr>
          <w:rFonts w:hint="eastAsia"/>
        </w:rPr>
      </w:pPr>
    </w:p>
    <w:p w14:paraId="56AFD539" w14:textId="77777777" w:rsidR="001E77C4" w:rsidRDefault="00857D97">
      <w:pPr>
        <w:spacing w:after="100"/>
        <w:rPr>
          <w:rFonts w:hint="eastAsia"/>
        </w:rPr>
      </w:pPr>
      <w:r>
        <w:t xml:space="preserve">The chart uses illustrative segment counts, not observed customer records. In a real submission, the </w:t>
      </w:r>
      <w:r>
        <w:t>segments must be generated from customer-level transactions and the counts should reconcile to the number of eligible customers.</w:t>
      </w:r>
    </w:p>
    <w:p w14:paraId="3293D80E" w14:textId="77777777" w:rsidR="001E77C4" w:rsidRDefault="00857D97">
      <w:pPr>
        <w:pStyle w:val="Heading2"/>
      </w:pPr>
      <w:r>
        <w:t>6.3 Avoiding common RFM errors</w:t>
      </w:r>
    </w:p>
    <w:p w14:paraId="6CD45D96" w14:textId="77777777" w:rsidR="001E77C4" w:rsidRDefault="00857D97">
      <w:pPr>
        <w:pStyle w:val="ListBullet"/>
        <w:spacing w:after="40"/>
        <w:rPr>
          <w:rFonts w:hint="eastAsia"/>
        </w:rPr>
      </w:pPr>
      <w:r>
        <w:t>Count distinct orders, not order-line rows, for frequency.</w:t>
      </w:r>
    </w:p>
    <w:p w14:paraId="2A172ECB" w14:textId="77777777" w:rsidR="001E77C4" w:rsidRDefault="00857D97">
      <w:pPr>
        <w:pStyle w:val="ListBullet"/>
        <w:spacing w:after="40"/>
        <w:rPr>
          <w:rFonts w:hint="eastAsia"/>
        </w:rPr>
      </w:pPr>
      <w:r>
        <w:lastRenderedPageBreak/>
        <w:t>Use net spend consistently and decide</w:t>
      </w:r>
      <w:r>
        <w:t xml:space="preserve"> how refunds are treated.</w:t>
      </w:r>
    </w:p>
    <w:p w14:paraId="566AD96B" w14:textId="77777777" w:rsidR="001E77C4" w:rsidRDefault="00857D97">
      <w:pPr>
        <w:pStyle w:val="ListBullet"/>
        <w:spacing w:after="40"/>
        <w:rPr>
          <w:rFonts w:hint="eastAsia"/>
        </w:rPr>
      </w:pPr>
      <w:r>
        <w:t>Do not compare customers with very different observation windows without adjusting the method.</w:t>
      </w:r>
    </w:p>
    <w:p w14:paraId="5C23B623" w14:textId="77777777" w:rsidR="001E77C4" w:rsidRDefault="00857D97">
      <w:pPr>
        <w:pStyle w:val="ListBullet"/>
        <w:spacing w:after="40"/>
        <w:rPr>
          <w:rFonts w:hint="eastAsia"/>
        </w:rPr>
      </w:pPr>
      <w:r>
        <w:t>Check whether one-off bulk purchases distort monetary quantiles.</w:t>
      </w:r>
    </w:p>
    <w:p w14:paraId="610F3581" w14:textId="77777777" w:rsidR="001E77C4" w:rsidRDefault="00857D97">
      <w:pPr>
        <w:pStyle w:val="ListBullet"/>
        <w:spacing w:after="40"/>
        <w:rPr>
          <w:rFonts w:hint="eastAsia"/>
        </w:rPr>
      </w:pPr>
      <w:r>
        <w:t>Validate the segment rules with later-period repeat purchase or campai</w:t>
      </w:r>
      <w:r>
        <w:t>gn response when possible.</w:t>
      </w:r>
    </w:p>
    <w:p w14:paraId="1F847912" w14:textId="77777777" w:rsidR="001E77C4" w:rsidRDefault="00857D97">
      <w:pPr>
        <w:rPr>
          <w:rFonts w:hint="eastAsia"/>
        </w:rPr>
      </w:pPr>
      <w:r>
        <w:br w:type="page"/>
      </w:r>
    </w:p>
    <w:p w14:paraId="38256DE6" w14:textId="77777777" w:rsidR="001E77C4" w:rsidRDefault="00857D97">
      <w:pPr>
        <w:pStyle w:val="Heading1"/>
        <w:spacing w:before="0"/>
      </w:pPr>
      <w:r>
        <w:lastRenderedPageBreak/>
        <w:t>7. Sales Analysis and Forecasting</w:t>
      </w:r>
    </w:p>
    <w:p w14:paraId="0EF5D98A" w14:textId="77777777" w:rsidR="001E77C4" w:rsidRDefault="00857D97">
      <w:pPr>
        <w:pStyle w:val="Heading2"/>
      </w:pPr>
      <w:r>
        <w:t>7.1 Historical trend</w:t>
      </w:r>
    </w:p>
    <w:p w14:paraId="08A73377" w14:textId="77777777" w:rsidR="001E77C4" w:rsidRDefault="00857D97">
      <w:pPr>
        <w:spacing w:after="40"/>
        <w:jc w:val="center"/>
        <w:rPr>
          <w:rFonts w:hint="eastAsia"/>
        </w:rPr>
      </w:pPr>
      <w:r>
        <w:rPr>
          <w:noProof/>
        </w:rPr>
        <w:drawing>
          <wp:inline distT="0" distB="0" distL="0" distR="0" wp14:anchorId="35607F51" wp14:editId="52011327">
            <wp:extent cx="5852160" cy="2780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5852160" cy="2780030"/>
                    </a:xfrm>
                    <a:prstGeom prst="rect">
                      <a:avLst/>
                    </a:prstGeom>
                    <a:noFill/>
                  </pic:spPr>
                </pic:pic>
              </a:graphicData>
            </a:graphic>
          </wp:inline>
        </w:drawing>
      </w:r>
    </w:p>
    <w:p w14:paraId="116E15C7" w14:textId="77777777" w:rsidR="001E77C4" w:rsidRDefault="00857D97">
      <w:pPr>
        <w:spacing w:after="100"/>
        <w:rPr>
          <w:rFonts w:hint="eastAsia"/>
        </w:rPr>
      </w:pPr>
      <w:r>
        <w:t>The illustrative revenue trend broadly rises over the selected period, with a pronounced late-year peak. Such a pattern may reflect seasonal demand, promotional activity,</w:t>
      </w:r>
      <w:r>
        <w:t xml:space="preserve"> higher order volume, higher basket value, or a combination. The chart alone cannot identify the cause. A real analysis should annotate campaign dates, stockouts, price changes, and holiday periods to test explanations.</w:t>
      </w:r>
    </w:p>
    <w:p w14:paraId="474639F3" w14:textId="77777777" w:rsidR="001E77C4" w:rsidRDefault="00857D97">
      <w:pPr>
        <w:pStyle w:val="Heading2"/>
      </w:pPr>
      <w:r>
        <w:t>7.2 Order volume and baseline foreca</w:t>
      </w:r>
      <w:r>
        <w:t>st</w:t>
      </w:r>
    </w:p>
    <w:p w14:paraId="6C2A0421" w14:textId="77777777" w:rsidR="001E77C4" w:rsidRDefault="00857D97">
      <w:pPr>
        <w:spacing w:after="40"/>
        <w:jc w:val="center"/>
        <w:rPr>
          <w:rFonts w:hint="eastAsia"/>
        </w:rPr>
      </w:pPr>
      <w:r>
        <w:rPr>
          <w:noProof/>
        </w:rPr>
        <w:drawing>
          <wp:inline distT="0" distB="0" distL="0" distR="0" wp14:anchorId="0E489903" wp14:editId="1222B367">
            <wp:extent cx="5852160" cy="2780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5852160" cy="2780030"/>
                    </a:xfrm>
                    <a:prstGeom prst="rect">
                      <a:avLst/>
                    </a:prstGeom>
                    <a:noFill/>
                  </pic:spPr>
                </pic:pic>
              </a:graphicData>
            </a:graphic>
          </wp:inline>
        </w:drawing>
      </w:r>
    </w:p>
    <w:p w14:paraId="22ED5290" w14:textId="77777777" w:rsidR="001E77C4" w:rsidRDefault="00857D97">
      <w:pPr>
        <w:spacing w:after="100"/>
        <w:rPr>
          <w:rFonts w:hint="eastAsia"/>
        </w:rPr>
      </w:pPr>
      <w:r>
        <w:t>The dashed line is an illustrative baseline forecast for six future months. It is intentionally simple and should be treated as a planning benchmark. Before operational use, compare at least a seasonal-naïve baseline with a moving average or an approp</w:t>
      </w:r>
      <w:r>
        <w:t>riate time-series model. Use a time-based holdout period and report MAE or RMSE. Randomly splitting monthly time series is inappropriate because it can leak future information into training.</w:t>
      </w:r>
    </w:p>
    <w:p w14:paraId="0585196F" w14:textId="77777777" w:rsidR="001E77C4" w:rsidRDefault="00857D97">
      <w:pPr>
        <w:pStyle w:val="Heading2"/>
      </w:pPr>
      <w:r>
        <w:t>7.3 Forecasting procedure</w:t>
      </w:r>
    </w:p>
    <w:p w14:paraId="5E2D76DD" w14:textId="77777777" w:rsidR="001E77C4" w:rsidRDefault="00857D97">
      <w:pPr>
        <w:pStyle w:val="ListNumber"/>
        <w:spacing w:after="40"/>
        <w:rPr>
          <w:rFonts w:hint="eastAsia"/>
        </w:rPr>
      </w:pPr>
      <w:r>
        <w:t>Aggregate completed orders by day or mo</w:t>
      </w:r>
      <w:r>
        <w:t>nth, depending on business planning needs.</w:t>
      </w:r>
    </w:p>
    <w:p w14:paraId="1135D754" w14:textId="77777777" w:rsidR="001E77C4" w:rsidRDefault="00857D97">
      <w:pPr>
        <w:pStyle w:val="ListNumber"/>
        <w:spacing w:after="40"/>
        <w:rPr>
          <w:rFonts w:hint="eastAsia"/>
        </w:rPr>
      </w:pPr>
      <w:r>
        <w:t>Plot the series and inspect missing periods, seasonality, trend, campaign spikes, and structural changes.</w:t>
      </w:r>
    </w:p>
    <w:p w14:paraId="5992593A" w14:textId="77777777" w:rsidR="001E77C4" w:rsidRDefault="00857D97">
      <w:pPr>
        <w:pStyle w:val="ListNumber"/>
        <w:spacing w:after="40"/>
        <w:rPr>
          <w:rFonts w:hint="eastAsia"/>
        </w:rPr>
      </w:pPr>
      <w:r>
        <w:lastRenderedPageBreak/>
        <w:t xml:space="preserve">Create a baseline such as last year's same month where sufficient history exists, or a moving </w:t>
      </w:r>
      <w:r>
        <w:t>average where it does not.</w:t>
      </w:r>
    </w:p>
    <w:p w14:paraId="5E75EA3F" w14:textId="77777777" w:rsidR="001E77C4" w:rsidRDefault="00857D97">
      <w:pPr>
        <w:pStyle w:val="ListNumber"/>
        <w:spacing w:after="40"/>
        <w:rPr>
          <w:rFonts w:hint="eastAsia"/>
        </w:rPr>
      </w:pPr>
      <w:r>
        <w:t>Split train and test chronologically; never train on future periods.</w:t>
      </w:r>
    </w:p>
    <w:p w14:paraId="6CA86D78" w14:textId="77777777" w:rsidR="001E77C4" w:rsidRDefault="00857D97">
      <w:pPr>
        <w:pStyle w:val="ListNumber"/>
        <w:spacing w:after="40"/>
        <w:rPr>
          <w:rFonts w:hint="eastAsia"/>
        </w:rPr>
      </w:pPr>
      <w:r>
        <w:t>Compare forecast errors against a simple baseline and show prediction intervals where the method supports them.</w:t>
      </w:r>
    </w:p>
    <w:p w14:paraId="147C74BB" w14:textId="77777777" w:rsidR="001E77C4" w:rsidRDefault="00857D97">
      <w:pPr>
        <w:pStyle w:val="ListNumber"/>
        <w:spacing w:after="40"/>
        <w:rPr>
          <w:rFonts w:hint="eastAsia"/>
        </w:rPr>
      </w:pPr>
      <w:r>
        <w:t xml:space="preserve">Review forecast bias and error monthly; </w:t>
      </w:r>
      <w:r>
        <w:t>retrain after major business changes.</w:t>
      </w:r>
    </w:p>
    <w:p w14:paraId="0596DF36" w14:textId="77777777" w:rsidR="001E77C4" w:rsidRDefault="00857D97">
      <w:pPr>
        <w:pStyle w:val="Heading2"/>
      </w:pPr>
      <w:r>
        <w:t>7.4 Operational implications</w:t>
      </w:r>
    </w:p>
    <w:p w14:paraId="07FDD3B7" w14:textId="77777777" w:rsidR="001E77C4" w:rsidRDefault="00857D97">
      <w:pPr>
        <w:pStyle w:val="ListBullet"/>
        <w:spacing w:after="40"/>
        <w:rPr>
          <w:rFonts w:hint="eastAsia"/>
        </w:rPr>
      </w:pPr>
      <w:r>
        <w:t>Use demand forecasts as ranges for inventory and staffing, not as exact promises.</w:t>
      </w:r>
    </w:p>
    <w:p w14:paraId="2FAFD6B1" w14:textId="77777777" w:rsidR="001E77C4" w:rsidRDefault="00857D97">
      <w:pPr>
        <w:pStyle w:val="ListBullet"/>
        <w:spacing w:after="40"/>
        <w:rPr>
          <w:rFonts w:hint="eastAsia"/>
        </w:rPr>
      </w:pPr>
      <w:r>
        <w:t>Separate organic demand from promotion-driven spikes where possible.</w:t>
      </w:r>
    </w:p>
    <w:p w14:paraId="07CC1B85" w14:textId="77777777" w:rsidR="001E77C4" w:rsidRDefault="00857D97">
      <w:pPr>
        <w:pStyle w:val="ListBullet"/>
        <w:spacing w:after="40"/>
        <w:rPr>
          <w:rFonts w:hint="eastAsia"/>
        </w:rPr>
      </w:pPr>
      <w:r>
        <w:t>Track stockouts and cancellations beca</w:t>
      </w:r>
      <w:r>
        <w:t>use observed sales can understate true demand.</w:t>
      </w:r>
    </w:p>
    <w:p w14:paraId="3C488147" w14:textId="77777777" w:rsidR="001E77C4" w:rsidRDefault="00857D97">
      <w:pPr>
        <w:pStyle w:val="ListBullet"/>
        <w:spacing w:after="40"/>
        <w:rPr>
          <w:rFonts w:hint="eastAsia"/>
        </w:rPr>
      </w:pPr>
      <w:r>
        <w:t>Use category-level forecasts if product-level demand differs materially.</w:t>
      </w:r>
    </w:p>
    <w:p w14:paraId="449450F7" w14:textId="77777777" w:rsidR="001E77C4" w:rsidRDefault="00857D97">
      <w:pPr>
        <w:rPr>
          <w:rFonts w:hint="eastAsia"/>
        </w:rPr>
      </w:pPr>
      <w:r>
        <w:br w:type="page"/>
      </w:r>
    </w:p>
    <w:p w14:paraId="08F2FB36" w14:textId="77777777" w:rsidR="001E77C4" w:rsidRDefault="00857D97">
      <w:pPr>
        <w:pStyle w:val="Heading1"/>
        <w:spacing w:before="0"/>
      </w:pPr>
      <w:r>
        <w:lastRenderedPageBreak/>
        <w:t>8. Website and Acquisition Analytics</w:t>
      </w:r>
    </w:p>
    <w:p w14:paraId="6C9BF42C" w14:textId="77777777" w:rsidR="001E77C4" w:rsidRDefault="00857D97">
      <w:pPr>
        <w:spacing w:after="40"/>
        <w:jc w:val="center"/>
        <w:rPr>
          <w:rFonts w:hint="eastAsia"/>
        </w:rPr>
      </w:pPr>
      <w:r>
        <w:rPr>
          <w:noProof/>
        </w:rPr>
        <w:drawing>
          <wp:inline distT="0" distB="0" distL="0" distR="0" wp14:anchorId="58492971" wp14:editId="09C7C8A5">
            <wp:extent cx="5669280" cy="2915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bwMode="auto">
                    <a:xfrm>
                      <a:off x="0" y="0"/>
                      <a:ext cx="5669280" cy="2915920"/>
                    </a:xfrm>
                    <a:prstGeom prst="rect">
                      <a:avLst/>
                    </a:prstGeom>
                    <a:noFill/>
                  </pic:spPr>
                </pic:pic>
              </a:graphicData>
            </a:graphic>
          </wp:inline>
        </w:drawing>
      </w:r>
    </w:p>
    <w:p w14:paraId="35F3269C" w14:textId="77777777" w:rsidR="001E77C4" w:rsidRDefault="00857D97">
      <w:pPr>
        <w:spacing w:after="100"/>
        <w:rPr>
          <w:rFonts w:hint="eastAsia"/>
        </w:rPr>
      </w:pPr>
      <w:r>
        <w:t>The example channel chart compares conversion rate, not channel profitability. Email and direct</w:t>
      </w:r>
      <w:r>
        <w:t xml:space="preserve"> traffic appear stronger in this illustrative scenario, while social traffic is lower. A low conversion rate does not automatically mean a channel should be stopped: social may introduce new customers who convert later, and attribution windows may shift cr</w:t>
      </w:r>
      <w:r>
        <w:t>edit between channels.</w:t>
      </w:r>
    </w:p>
    <w:p w14:paraId="4C1CF46E" w14:textId="77777777" w:rsidR="001E77C4" w:rsidRDefault="00857D97">
      <w:pPr>
        <w:pStyle w:val="Heading2"/>
      </w:pPr>
      <w:r>
        <w:t>8.1 Metrics to evaluate together</w:t>
      </w:r>
    </w:p>
    <w:tbl>
      <w:tblPr>
        <w:tblW w:w="9936" w:type="dxa"/>
        <w:tblInd w:w="-108" w:type="dxa"/>
        <w:tblLayout w:type="fixed"/>
        <w:tblLook w:val="0000" w:firstRow="0" w:lastRow="0" w:firstColumn="0" w:lastColumn="0" w:noHBand="0" w:noVBand="0"/>
      </w:tblPr>
      <w:tblGrid>
        <w:gridCol w:w="3312"/>
        <w:gridCol w:w="3312"/>
        <w:gridCol w:w="3312"/>
      </w:tblGrid>
      <w:tr w:rsidR="001E77C4" w14:paraId="1BF37FC2" w14:textId="77777777">
        <w:tc>
          <w:tcPr>
            <w:tcW w:w="3312" w:type="dxa"/>
            <w:tcBorders>
              <w:top w:val="single" w:sz="8" w:space="0" w:color="4F81BD"/>
              <w:bottom w:val="single" w:sz="8" w:space="0" w:color="4F81BD"/>
            </w:tcBorders>
            <w:shd w:val="clear" w:color="auto" w:fill="164B73"/>
          </w:tcPr>
          <w:p w14:paraId="0DD9FDED" w14:textId="77777777" w:rsidR="001E77C4" w:rsidRDefault="00857D97">
            <w:pPr>
              <w:spacing w:after="0" w:line="240" w:lineRule="auto"/>
              <w:rPr>
                <w:rFonts w:hint="eastAsia"/>
                <w:b/>
                <w:bCs/>
                <w:color w:val="FFFFFF"/>
                <w:sz w:val="18"/>
              </w:rPr>
            </w:pPr>
            <w:r>
              <w:rPr>
                <w:b/>
                <w:bCs/>
                <w:color w:val="FFFFFF"/>
                <w:sz w:val="18"/>
              </w:rPr>
              <w:t>Metric</w:t>
            </w:r>
          </w:p>
        </w:tc>
        <w:tc>
          <w:tcPr>
            <w:tcW w:w="3312" w:type="dxa"/>
            <w:tcBorders>
              <w:top w:val="single" w:sz="8" w:space="0" w:color="4F81BD"/>
              <w:bottom w:val="single" w:sz="8" w:space="0" w:color="4F81BD"/>
            </w:tcBorders>
            <w:shd w:val="clear" w:color="auto" w:fill="164B73"/>
          </w:tcPr>
          <w:p w14:paraId="7EEF1807" w14:textId="77777777" w:rsidR="001E77C4" w:rsidRDefault="00857D97">
            <w:pPr>
              <w:spacing w:after="0" w:line="240" w:lineRule="auto"/>
              <w:rPr>
                <w:rFonts w:hint="eastAsia"/>
                <w:b/>
                <w:bCs/>
                <w:color w:val="FFFFFF"/>
                <w:sz w:val="18"/>
              </w:rPr>
            </w:pPr>
            <w:r>
              <w:rPr>
                <w:b/>
                <w:bCs/>
                <w:color w:val="FFFFFF"/>
                <w:sz w:val="18"/>
              </w:rPr>
              <w:t>Why it matters</w:t>
            </w:r>
          </w:p>
        </w:tc>
        <w:tc>
          <w:tcPr>
            <w:tcW w:w="3312" w:type="dxa"/>
            <w:tcBorders>
              <w:top w:val="single" w:sz="8" w:space="0" w:color="4F81BD"/>
              <w:bottom w:val="single" w:sz="8" w:space="0" w:color="4F81BD"/>
            </w:tcBorders>
            <w:shd w:val="clear" w:color="auto" w:fill="164B73"/>
          </w:tcPr>
          <w:p w14:paraId="3579C7D1" w14:textId="77777777" w:rsidR="001E77C4" w:rsidRDefault="00857D97">
            <w:pPr>
              <w:spacing w:after="0" w:line="240" w:lineRule="auto"/>
              <w:rPr>
                <w:rFonts w:hint="eastAsia"/>
                <w:b/>
                <w:bCs/>
                <w:color w:val="FFFFFF"/>
                <w:sz w:val="18"/>
              </w:rPr>
            </w:pPr>
            <w:r>
              <w:rPr>
                <w:b/>
                <w:bCs/>
                <w:color w:val="FFFFFF"/>
                <w:sz w:val="18"/>
              </w:rPr>
              <w:t>Caution</w:t>
            </w:r>
          </w:p>
        </w:tc>
      </w:tr>
      <w:tr w:rsidR="001E77C4" w14:paraId="1CC614FF" w14:textId="77777777">
        <w:tc>
          <w:tcPr>
            <w:tcW w:w="3312" w:type="dxa"/>
            <w:shd w:val="clear" w:color="auto" w:fill="D3DFEE"/>
          </w:tcPr>
          <w:p w14:paraId="6778FF5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Sessions and users</w:t>
            </w:r>
          </w:p>
        </w:tc>
        <w:tc>
          <w:tcPr>
            <w:tcW w:w="3312" w:type="dxa"/>
            <w:shd w:val="clear" w:color="auto" w:fill="D3DFEE"/>
          </w:tcPr>
          <w:p w14:paraId="27E923A5"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Measures reach</w:t>
            </w:r>
          </w:p>
        </w:tc>
        <w:tc>
          <w:tcPr>
            <w:tcW w:w="3312" w:type="dxa"/>
            <w:shd w:val="clear" w:color="auto" w:fill="D3DFEE"/>
          </w:tcPr>
          <w:p w14:paraId="360945C3" w14:textId="77777777" w:rsidR="001E77C4" w:rsidRDefault="00857D97">
            <w:pPr>
              <w:spacing w:after="0" w:line="240" w:lineRule="auto"/>
              <w:rPr>
                <w:rFonts w:hint="eastAsia"/>
                <w:color w:val="365F91" w:themeColor="accent1" w:themeShade="BF"/>
                <w:sz w:val="18"/>
              </w:rPr>
            </w:pPr>
            <w:r>
              <w:rPr>
                <w:color w:val="365F91" w:themeColor="accent1" w:themeShade="BF"/>
                <w:sz w:val="18"/>
              </w:rPr>
              <w:t>Bot traffic and repeat sessions may distort totals.</w:t>
            </w:r>
          </w:p>
        </w:tc>
      </w:tr>
      <w:tr w:rsidR="001E77C4" w14:paraId="60106D4C" w14:textId="77777777">
        <w:tc>
          <w:tcPr>
            <w:tcW w:w="3312" w:type="dxa"/>
            <w:shd w:val="clear" w:color="auto" w:fill="EEF4F8"/>
          </w:tcPr>
          <w:p w14:paraId="7620353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Conversion rate</w:t>
            </w:r>
          </w:p>
        </w:tc>
        <w:tc>
          <w:tcPr>
            <w:tcW w:w="3312" w:type="dxa"/>
            <w:shd w:val="clear" w:color="auto" w:fill="EEF4F8"/>
          </w:tcPr>
          <w:p w14:paraId="4CA6F3EC"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Measures purchase completion</w:t>
            </w:r>
          </w:p>
        </w:tc>
        <w:tc>
          <w:tcPr>
            <w:tcW w:w="3312" w:type="dxa"/>
            <w:shd w:val="clear" w:color="auto" w:fill="EEF4F8"/>
          </w:tcPr>
          <w:p w14:paraId="3BE87655"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Use a consistent </w:t>
            </w:r>
            <w:r>
              <w:rPr>
                <w:color w:val="365F91" w:themeColor="accent1" w:themeShade="BF"/>
                <w:sz w:val="18"/>
              </w:rPr>
              <w:t>denominator and attribution window.</w:t>
            </w:r>
          </w:p>
        </w:tc>
      </w:tr>
      <w:tr w:rsidR="001E77C4" w14:paraId="4F8C1734" w14:textId="77777777">
        <w:tc>
          <w:tcPr>
            <w:tcW w:w="3312" w:type="dxa"/>
            <w:shd w:val="clear" w:color="auto" w:fill="D3DFEE"/>
          </w:tcPr>
          <w:p w14:paraId="713DF551"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Revenue per session</w:t>
            </w:r>
          </w:p>
        </w:tc>
        <w:tc>
          <w:tcPr>
            <w:tcW w:w="3312" w:type="dxa"/>
            <w:shd w:val="clear" w:color="auto" w:fill="D3DFEE"/>
          </w:tcPr>
          <w:p w14:paraId="70F9162A" w14:textId="77777777" w:rsidR="001E77C4" w:rsidRDefault="00857D97">
            <w:pPr>
              <w:spacing w:after="0" w:line="240" w:lineRule="auto"/>
              <w:rPr>
                <w:rFonts w:hint="eastAsia"/>
                <w:color w:val="365F91" w:themeColor="accent1" w:themeShade="BF"/>
                <w:sz w:val="18"/>
              </w:rPr>
            </w:pPr>
            <w:r>
              <w:rPr>
                <w:color w:val="365F91" w:themeColor="accent1" w:themeShade="BF"/>
                <w:sz w:val="18"/>
              </w:rPr>
              <w:t>Connects traffic to commercial outcome</w:t>
            </w:r>
          </w:p>
        </w:tc>
        <w:tc>
          <w:tcPr>
            <w:tcW w:w="3312" w:type="dxa"/>
            <w:shd w:val="clear" w:color="auto" w:fill="D3DFEE"/>
          </w:tcPr>
          <w:p w14:paraId="1ED43F46" w14:textId="77777777" w:rsidR="001E77C4" w:rsidRDefault="00857D97">
            <w:pPr>
              <w:spacing w:after="0" w:line="240" w:lineRule="auto"/>
              <w:rPr>
                <w:rFonts w:hint="eastAsia"/>
                <w:color w:val="365F91" w:themeColor="accent1" w:themeShade="BF"/>
                <w:sz w:val="18"/>
              </w:rPr>
            </w:pPr>
            <w:r>
              <w:rPr>
                <w:color w:val="365F91" w:themeColor="accent1" w:themeShade="BF"/>
                <w:sz w:val="18"/>
              </w:rPr>
              <w:t>Can be skewed by a few large orders.</w:t>
            </w:r>
          </w:p>
        </w:tc>
      </w:tr>
      <w:tr w:rsidR="001E77C4" w14:paraId="4257EB57" w14:textId="77777777">
        <w:tc>
          <w:tcPr>
            <w:tcW w:w="3312" w:type="dxa"/>
            <w:shd w:val="clear" w:color="auto" w:fill="EEF4F8"/>
          </w:tcPr>
          <w:p w14:paraId="4C62F743"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CAC / ROAS</w:t>
            </w:r>
          </w:p>
        </w:tc>
        <w:tc>
          <w:tcPr>
            <w:tcW w:w="3312" w:type="dxa"/>
            <w:shd w:val="clear" w:color="auto" w:fill="EEF4F8"/>
          </w:tcPr>
          <w:p w14:paraId="0BB4A939" w14:textId="77777777" w:rsidR="001E77C4" w:rsidRDefault="00857D97">
            <w:pPr>
              <w:spacing w:after="0" w:line="240" w:lineRule="auto"/>
              <w:rPr>
                <w:rFonts w:hint="eastAsia"/>
                <w:color w:val="365F91" w:themeColor="accent1" w:themeShade="BF"/>
                <w:sz w:val="18"/>
              </w:rPr>
            </w:pPr>
            <w:r>
              <w:rPr>
                <w:color w:val="365F91" w:themeColor="accent1" w:themeShade="BF"/>
                <w:sz w:val="18"/>
              </w:rPr>
              <w:t>Relates marketing cost to acquired customers/revenue</w:t>
            </w:r>
          </w:p>
        </w:tc>
        <w:tc>
          <w:tcPr>
            <w:tcW w:w="3312" w:type="dxa"/>
            <w:shd w:val="clear" w:color="auto" w:fill="EEF4F8"/>
          </w:tcPr>
          <w:p w14:paraId="2CCCA80E" w14:textId="77777777" w:rsidR="001E77C4" w:rsidRDefault="00857D97">
            <w:pPr>
              <w:spacing w:after="0" w:line="240" w:lineRule="auto"/>
              <w:rPr>
                <w:rFonts w:hint="eastAsia"/>
                <w:color w:val="365F91" w:themeColor="accent1" w:themeShade="BF"/>
                <w:sz w:val="18"/>
              </w:rPr>
            </w:pPr>
            <w:r>
              <w:rPr>
                <w:color w:val="365F91" w:themeColor="accent1" w:themeShade="BF"/>
                <w:sz w:val="18"/>
              </w:rPr>
              <w:t>Attribution is not necessarily incremental impact.</w:t>
            </w:r>
          </w:p>
        </w:tc>
      </w:tr>
      <w:tr w:rsidR="001E77C4" w14:paraId="598E886F" w14:textId="77777777">
        <w:tc>
          <w:tcPr>
            <w:tcW w:w="3312" w:type="dxa"/>
            <w:shd w:val="clear" w:color="auto" w:fill="D3DFEE"/>
          </w:tcPr>
          <w:p w14:paraId="41EC42A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Landing-page exit / bounce</w:t>
            </w:r>
          </w:p>
        </w:tc>
        <w:tc>
          <w:tcPr>
            <w:tcW w:w="3312" w:type="dxa"/>
            <w:shd w:val="clear" w:color="auto" w:fill="D3DFEE"/>
          </w:tcPr>
          <w:p w14:paraId="1FC680B3" w14:textId="77777777" w:rsidR="001E77C4" w:rsidRDefault="00857D97">
            <w:pPr>
              <w:spacing w:after="0" w:line="240" w:lineRule="auto"/>
              <w:rPr>
                <w:rFonts w:hint="eastAsia"/>
                <w:color w:val="365F91" w:themeColor="accent1" w:themeShade="BF"/>
                <w:sz w:val="18"/>
              </w:rPr>
            </w:pPr>
            <w:r>
              <w:rPr>
                <w:color w:val="365F91" w:themeColor="accent1" w:themeShade="BF"/>
                <w:sz w:val="18"/>
              </w:rPr>
              <w:t>Can flag friction or mismatched intent</w:t>
            </w:r>
          </w:p>
        </w:tc>
        <w:tc>
          <w:tcPr>
            <w:tcW w:w="3312" w:type="dxa"/>
            <w:shd w:val="clear" w:color="auto" w:fill="D3DFEE"/>
          </w:tcPr>
          <w:p w14:paraId="1D44200E" w14:textId="77777777" w:rsidR="001E77C4" w:rsidRDefault="00857D97">
            <w:pPr>
              <w:spacing w:after="0" w:line="240" w:lineRule="auto"/>
              <w:rPr>
                <w:rFonts w:hint="eastAsia"/>
                <w:color w:val="365F91" w:themeColor="accent1" w:themeShade="BF"/>
                <w:sz w:val="18"/>
              </w:rPr>
            </w:pPr>
            <w:r>
              <w:rPr>
                <w:color w:val="365F91" w:themeColor="accent1" w:themeShade="BF"/>
                <w:sz w:val="18"/>
              </w:rPr>
              <w:t>A high bounce rate can be normal for some page types.</w:t>
            </w:r>
          </w:p>
        </w:tc>
      </w:tr>
      <w:tr w:rsidR="001E77C4" w14:paraId="0701D588" w14:textId="77777777">
        <w:tc>
          <w:tcPr>
            <w:tcW w:w="3312" w:type="dxa"/>
            <w:tcBorders>
              <w:bottom w:val="single" w:sz="8" w:space="0" w:color="4F81BD"/>
            </w:tcBorders>
            <w:shd w:val="clear" w:color="auto" w:fill="EEF4F8"/>
          </w:tcPr>
          <w:p w14:paraId="4C14F1E0"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Device and page speed</w:t>
            </w:r>
          </w:p>
        </w:tc>
        <w:tc>
          <w:tcPr>
            <w:tcW w:w="3312" w:type="dxa"/>
            <w:tcBorders>
              <w:bottom w:val="single" w:sz="8" w:space="0" w:color="4F81BD"/>
            </w:tcBorders>
            <w:shd w:val="clear" w:color="auto" w:fill="EEF4F8"/>
          </w:tcPr>
          <w:p w14:paraId="5A8FF943" w14:textId="77777777" w:rsidR="001E77C4" w:rsidRDefault="00857D97">
            <w:pPr>
              <w:spacing w:after="0" w:line="240" w:lineRule="auto"/>
              <w:rPr>
                <w:rFonts w:hint="eastAsia"/>
                <w:color w:val="365F91" w:themeColor="accent1" w:themeShade="BF"/>
                <w:sz w:val="18"/>
              </w:rPr>
            </w:pPr>
            <w:r>
              <w:rPr>
                <w:color w:val="365F91" w:themeColor="accent1" w:themeShade="BF"/>
                <w:sz w:val="18"/>
              </w:rPr>
              <w:t>May reveal user-experience barriers</w:t>
            </w:r>
          </w:p>
        </w:tc>
        <w:tc>
          <w:tcPr>
            <w:tcW w:w="3312" w:type="dxa"/>
            <w:tcBorders>
              <w:bottom w:val="single" w:sz="8" w:space="0" w:color="4F81BD"/>
            </w:tcBorders>
            <w:shd w:val="clear" w:color="auto" w:fill="EEF4F8"/>
          </w:tcPr>
          <w:p w14:paraId="605A65D7"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similar traffic sources and page types.</w:t>
            </w:r>
          </w:p>
        </w:tc>
      </w:tr>
    </w:tbl>
    <w:p w14:paraId="6C696F83" w14:textId="77777777" w:rsidR="001E77C4" w:rsidRDefault="001E77C4">
      <w:pPr>
        <w:rPr>
          <w:rFonts w:hint="eastAsia"/>
        </w:rPr>
      </w:pPr>
    </w:p>
    <w:p w14:paraId="23E7DBC5" w14:textId="77777777" w:rsidR="001E77C4" w:rsidRDefault="00857D97">
      <w:pPr>
        <w:pStyle w:val="Heading2"/>
      </w:pPr>
      <w:r>
        <w:t xml:space="preserve">8.2 Recommended diagnostic </w:t>
      </w:r>
      <w:r>
        <w:t>workflow</w:t>
      </w:r>
    </w:p>
    <w:p w14:paraId="10E6CCB1" w14:textId="77777777" w:rsidR="001E77C4" w:rsidRDefault="00857D97">
      <w:pPr>
        <w:pStyle w:val="ListNumber"/>
        <w:spacing w:after="40"/>
        <w:rPr>
          <w:rFonts w:hint="eastAsia"/>
        </w:rPr>
      </w:pPr>
      <w:r>
        <w:t>Segment conversion by channel, device, landing page, new/returning visitor, and campaign.</w:t>
      </w:r>
    </w:p>
    <w:p w14:paraId="014757A7" w14:textId="77777777" w:rsidR="001E77C4" w:rsidRDefault="00857D97">
      <w:pPr>
        <w:pStyle w:val="ListNumber"/>
        <w:spacing w:after="40"/>
        <w:rPr>
          <w:rFonts w:hint="eastAsia"/>
        </w:rPr>
      </w:pPr>
      <w:r>
        <w:t>Check tracking consistency and consent-related measurement gaps.</w:t>
      </w:r>
    </w:p>
    <w:p w14:paraId="28FA61BC" w14:textId="77777777" w:rsidR="001E77C4" w:rsidRDefault="00857D97">
      <w:pPr>
        <w:pStyle w:val="ListNumber"/>
        <w:spacing w:after="40"/>
        <w:rPr>
          <w:rFonts w:hint="eastAsia"/>
        </w:rPr>
      </w:pPr>
      <w:r>
        <w:t>Review landing-page promise against product availability, price, shipping, and checkout expe</w:t>
      </w:r>
      <w:r>
        <w:t>rience.</w:t>
      </w:r>
    </w:p>
    <w:p w14:paraId="28842864" w14:textId="77777777" w:rsidR="001E77C4" w:rsidRDefault="00857D97">
      <w:pPr>
        <w:pStyle w:val="ListNumber"/>
        <w:spacing w:after="40"/>
        <w:rPr>
          <w:rFonts w:hint="eastAsia"/>
        </w:rPr>
      </w:pPr>
      <w:r>
        <w:t>Investigate checkout abandonment, payment failures, page speed, and mobile usability.</w:t>
      </w:r>
    </w:p>
    <w:p w14:paraId="710E410E" w14:textId="77777777" w:rsidR="001E77C4" w:rsidRDefault="00857D97">
      <w:pPr>
        <w:pStyle w:val="ListNumber"/>
        <w:spacing w:after="40"/>
        <w:rPr>
          <w:rFonts w:hint="eastAsia"/>
        </w:rPr>
      </w:pPr>
      <w:r>
        <w:t>Run controlled A/B tests with a defined primary metric and guardrail metrics.</w:t>
      </w:r>
    </w:p>
    <w:p w14:paraId="4AE2AB89" w14:textId="77777777" w:rsidR="001E77C4" w:rsidRDefault="00857D97">
      <w:pPr>
        <w:spacing w:after="100"/>
        <w:rPr>
          <w:rFonts w:hint="eastAsia"/>
        </w:rPr>
      </w:pPr>
      <w:r>
        <w:t xml:space="preserve">Do not reallocate a large budget solely from the chart. Validate channel </w:t>
      </w:r>
      <w:r>
        <w:t>performance with adequate sample size, contribution margin, new-customer quality, and incrementality tests where feasible.</w:t>
      </w:r>
    </w:p>
    <w:p w14:paraId="74DB8926" w14:textId="77777777" w:rsidR="001E77C4" w:rsidRDefault="00857D97">
      <w:pPr>
        <w:rPr>
          <w:rFonts w:hint="eastAsia"/>
        </w:rPr>
      </w:pPr>
      <w:r>
        <w:br w:type="page"/>
      </w:r>
    </w:p>
    <w:p w14:paraId="2529639A" w14:textId="77777777" w:rsidR="001E77C4" w:rsidRDefault="00857D97">
      <w:pPr>
        <w:pStyle w:val="Heading1"/>
        <w:spacing w:before="0"/>
      </w:pPr>
      <w:r>
        <w:lastRenderedPageBreak/>
        <w:t>9. Pricing Strategy Evaluation</w:t>
      </w:r>
    </w:p>
    <w:p w14:paraId="3FDEDAE5" w14:textId="77777777" w:rsidR="001E77C4" w:rsidRDefault="00857D97">
      <w:pPr>
        <w:spacing w:after="40"/>
        <w:jc w:val="center"/>
        <w:rPr>
          <w:rFonts w:hint="eastAsia"/>
        </w:rPr>
      </w:pPr>
      <w:r>
        <w:rPr>
          <w:noProof/>
        </w:rPr>
        <w:drawing>
          <wp:inline distT="0" distB="0" distL="0" distR="0" wp14:anchorId="50690754" wp14:editId="684B13DB">
            <wp:extent cx="5669280" cy="275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5669280" cy="2753360"/>
                    </a:xfrm>
                    <a:prstGeom prst="rect">
                      <a:avLst/>
                    </a:prstGeom>
                    <a:noFill/>
                  </pic:spPr>
                </pic:pic>
              </a:graphicData>
            </a:graphic>
          </wp:inline>
        </w:drawing>
      </w:r>
    </w:p>
    <w:p w14:paraId="638055C3" w14:textId="77777777" w:rsidR="001E77C4" w:rsidRDefault="00857D97">
      <w:pPr>
        <w:spacing w:after="100"/>
        <w:rPr>
          <w:rFonts w:hint="eastAsia"/>
        </w:rPr>
      </w:pPr>
      <w:r>
        <w:t xml:space="preserve">The illustrative curve suggests conversion is strongest in the middle price band. This pattern is </w:t>
      </w:r>
      <w:r>
        <w:t>not proof that the middle band causes better conversion: product category, brand, availability, shipping costs, customer intent, and promotion depth may all differ by price band.</w:t>
      </w:r>
    </w:p>
    <w:p w14:paraId="4D66FA1F" w14:textId="77777777" w:rsidR="001E77C4" w:rsidRDefault="00857D97">
      <w:pPr>
        <w:pStyle w:val="Heading2"/>
      </w:pPr>
      <w:r>
        <w:t>9.1 Pricing analysis framework</w:t>
      </w:r>
    </w:p>
    <w:p w14:paraId="029660C4" w14:textId="77777777" w:rsidR="001E77C4" w:rsidRDefault="00857D97">
      <w:pPr>
        <w:pStyle w:val="ListNumber"/>
        <w:spacing w:after="40"/>
        <w:rPr>
          <w:rFonts w:hint="eastAsia"/>
        </w:rPr>
      </w:pPr>
      <w:r>
        <w:t>Compare price bands within the same product ca</w:t>
      </w:r>
      <w:r>
        <w:t>tegory where possible.</w:t>
      </w:r>
    </w:p>
    <w:p w14:paraId="5E0AE916" w14:textId="77777777" w:rsidR="001E77C4" w:rsidRDefault="00857D97">
      <w:pPr>
        <w:pStyle w:val="ListNumber"/>
        <w:spacing w:after="40"/>
        <w:rPr>
          <w:rFonts w:hint="eastAsia"/>
        </w:rPr>
      </w:pPr>
      <w:r>
        <w:t>Measure conversion, units per order, net revenue, gross margin, returns, and discount rate together.</w:t>
      </w:r>
    </w:p>
    <w:p w14:paraId="639CDF70" w14:textId="77777777" w:rsidR="001E77C4" w:rsidRDefault="00857D97">
      <w:pPr>
        <w:pStyle w:val="ListNumber"/>
        <w:spacing w:after="40"/>
        <w:rPr>
          <w:rFonts w:hint="eastAsia"/>
        </w:rPr>
      </w:pPr>
      <w:r>
        <w:t xml:space="preserve">Separate list price from </w:t>
      </w:r>
      <w:proofErr w:type="spellStart"/>
      <w:r>
        <w:t>realised</w:t>
      </w:r>
      <w:proofErr w:type="spellEnd"/>
      <w:r>
        <w:t xml:space="preserve"> price after discounts and coupons.</w:t>
      </w:r>
    </w:p>
    <w:p w14:paraId="1434B27E" w14:textId="77777777" w:rsidR="001E77C4" w:rsidRDefault="00857D97">
      <w:pPr>
        <w:pStyle w:val="ListNumber"/>
        <w:spacing w:after="40"/>
        <w:rPr>
          <w:rFonts w:hint="eastAsia"/>
        </w:rPr>
      </w:pPr>
      <w:r>
        <w:t xml:space="preserve">Check whether price changes overlap with campaigns, stockouts, </w:t>
      </w:r>
      <w:r>
        <w:t>or changes in traffic quality.</w:t>
      </w:r>
    </w:p>
    <w:p w14:paraId="44B04757" w14:textId="77777777" w:rsidR="001E77C4" w:rsidRDefault="00857D97">
      <w:pPr>
        <w:pStyle w:val="ListNumber"/>
        <w:spacing w:after="40"/>
        <w:rPr>
          <w:rFonts w:hint="eastAsia"/>
        </w:rPr>
      </w:pPr>
      <w:r>
        <w:t>Test price or offer changes using controlled experiments and protect margin as a guardrail.</w:t>
      </w:r>
    </w:p>
    <w:p w14:paraId="39ADBDF5" w14:textId="77777777" w:rsidR="001E77C4" w:rsidRDefault="00857D97">
      <w:pPr>
        <w:pStyle w:val="Heading2"/>
      </w:pPr>
      <w:r>
        <w:t>9.2 Practical pricing recommendations</w:t>
      </w:r>
    </w:p>
    <w:p w14:paraId="595D2250" w14:textId="77777777" w:rsidR="001E77C4" w:rsidRDefault="00857D97">
      <w:pPr>
        <w:pStyle w:val="ListBullet"/>
        <w:spacing w:after="40"/>
        <w:rPr>
          <w:rFonts w:hint="eastAsia"/>
        </w:rPr>
      </w:pPr>
      <w:r>
        <w:t>Use bundles and complementary recommendations to increase basket value without discounting ever</w:t>
      </w:r>
      <w:r>
        <w:t>y item.</w:t>
      </w:r>
    </w:p>
    <w:p w14:paraId="64FA4DBF" w14:textId="77777777" w:rsidR="001E77C4" w:rsidRDefault="00857D97">
      <w:pPr>
        <w:pStyle w:val="ListBullet"/>
        <w:spacing w:after="40"/>
        <w:rPr>
          <w:rFonts w:hint="eastAsia"/>
        </w:rPr>
      </w:pPr>
      <w:r>
        <w:t>Test free-shipping thresholds only after estimating their effect on contribution margin.</w:t>
      </w:r>
    </w:p>
    <w:p w14:paraId="71858DCC" w14:textId="77777777" w:rsidR="001E77C4" w:rsidRDefault="00857D97">
      <w:pPr>
        <w:pStyle w:val="ListBullet"/>
        <w:spacing w:after="40"/>
        <w:rPr>
          <w:rFonts w:hint="eastAsia"/>
        </w:rPr>
      </w:pPr>
      <w:r>
        <w:t>Avoid blanket discounts for high-value customers who may purchase without them.</w:t>
      </w:r>
    </w:p>
    <w:p w14:paraId="2B9DBD27" w14:textId="77777777" w:rsidR="001E77C4" w:rsidRDefault="00857D97">
      <w:pPr>
        <w:pStyle w:val="ListBullet"/>
        <w:spacing w:after="40"/>
        <w:rPr>
          <w:rFonts w:hint="eastAsia"/>
        </w:rPr>
      </w:pPr>
      <w:r>
        <w:t>For high-traffic, low-conversion products, review value messaging, reviews, del</w:t>
      </w:r>
      <w:r>
        <w:t>ivery promises, and total checkout cost before reducing price.</w:t>
      </w:r>
    </w:p>
    <w:p w14:paraId="5D6E4653" w14:textId="77777777" w:rsidR="001E77C4" w:rsidRDefault="00857D97">
      <w:pPr>
        <w:pStyle w:val="ListBullet"/>
        <w:spacing w:after="40"/>
        <w:rPr>
          <w:rFonts w:hint="eastAsia"/>
        </w:rPr>
      </w:pPr>
      <w:r>
        <w:t>Track returns and cancellations after a price or promotion change to avoid mistaking low-quality orders for success.</w:t>
      </w:r>
    </w:p>
    <w:p w14:paraId="6A8CD117" w14:textId="77777777" w:rsidR="001E77C4" w:rsidRDefault="00857D97">
      <w:pPr>
        <w:rPr>
          <w:rFonts w:hint="eastAsia"/>
        </w:rPr>
      </w:pPr>
      <w:r>
        <w:br w:type="page"/>
      </w:r>
    </w:p>
    <w:p w14:paraId="373E519F" w14:textId="77777777" w:rsidR="001E77C4" w:rsidRDefault="00857D97">
      <w:pPr>
        <w:pStyle w:val="Heading1"/>
        <w:spacing w:before="0"/>
      </w:pPr>
      <w:r>
        <w:lastRenderedPageBreak/>
        <w:t>10. Cross-Analysis, Patterns, and Limitations</w:t>
      </w:r>
    </w:p>
    <w:p w14:paraId="6CCE1AAC" w14:textId="77777777" w:rsidR="001E77C4" w:rsidRDefault="00857D97">
      <w:pPr>
        <w:pStyle w:val="Heading2"/>
      </w:pPr>
      <w:r>
        <w:t xml:space="preserve">10.1 How the </w:t>
      </w:r>
      <w:r>
        <w:t>analyses connect</w:t>
      </w:r>
    </w:p>
    <w:p w14:paraId="39E2377D" w14:textId="77777777" w:rsidR="001E77C4" w:rsidRDefault="00857D97">
      <w:pPr>
        <w:spacing w:after="100"/>
        <w:rPr>
          <w:rFonts w:hint="eastAsia"/>
        </w:rPr>
      </w:pPr>
      <w:r>
        <w:t>Customer, sales, website, and pricing analysis should be interpreted as a connected system. For example, a channel may have a high conversion rate but attract low-value orders; a promotion may increase orders while reducing margin; a custo</w:t>
      </w:r>
      <w:r>
        <w:t>mer segment may spend heavily but also return a high share of purchases. The strongest decision uses multiple measures rather than a single headline KPI.</w:t>
      </w:r>
    </w:p>
    <w:tbl>
      <w:tblPr>
        <w:tblW w:w="9936" w:type="dxa"/>
        <w:tblInd w:w="-108" w:type="dxa"/>
        <w:tblLayout w:type="fixed"/>
        <w:tblLook w:val="0000" w:firstRow="0" w:lastRow="0" w:firstColumn="0" w:lastColumn="0" w:noHBand="0" w:noVBand="0"/>
      </w:tblPr>
      <w:tblGrid>
        <w:gridCol w:w="3312"/>
        <w:gridCol w:w="3312"/>
        <w:gridCol w:w="3312"/>
      </w:tblGrid>
      <w:tr w:rsidR="001E77C4" w14:paraId="6E1240AF" w14:textId="77777777">
        <w:tc>
          <w:tcPr>
            <w:tcW w:w="3312" w:type="dxa"/>
            <w:tcBorders>
              <w:top w:val="single" w:sz="8" w:space="0" w:color="4F81BD"/>
              <w:bottom w:val="single" w:sz="8" w:space="0" w:color="4F81BD"/>
            </w:tcBorders>
            <w:shd w:val="clear" w:color="auto" w:fill="164B73"/>
          </w:tcPr>
          <w:p w14:paraId="36778BC1" w14:textId="77777777" w:rsidR="001E77C4" w:rsidRDefault="00857D97">
            <w:pPr>
              <w:spacing w:after="0" w:line="240" w:lineRule="auto"/>
              <w:rPr>
                <w:rFonts w:hint="eastAsia"/>
                <w:b/>
                <w:bCs/>
                <w:color w:val="FFFFFF"/>
                <w:sz w:val="18"/>
              </w:rPr>
            </w:pPr>
            <w:r>
              <w:rPr>
                <w:b/>
                <w:bCs/>
                <w:color w:val="FFFFFF"/>
                <w:sz w:val="18"/>
              </w:rPr>
              <w:t>Observed pattern to test</w:t>
            </w:r>
          </w:p>
        </w:tc>
        <w:tc>
          <w:tcPr>
            <w:tcW w:w="3312" w:type="dxa"/>
            <w:tcBorders>
              <w:top w:val="single" w:sz="8" w:space="0" w:color="4F81BD"/>
              <w:bottom w:val="single" w:sz="8" w:space="0" w:color="4F81BD"/>
            </w:tcBorders>
            <w:shd w:val="clear" w:color="auto" w:fill="164B73"/>
          </w:tcPr>
          <w:p w14:paraId="233940AF" w14:textId="77777777" w:rsidR="001E77C4" w:rsidRDefault="00857D97">
            <w:pPr>
              <w:spacing w:after="0" w:line="240" w:lineRule="auto"/>
              <w:rPr>
                <w:rFonts w:hint="eastAsia"/>
                <w:b/>
                <w:bCs/>
                <w:color w:val="FFFFFF"/>
                <w:sz w:val="18"/>
              </w:rPr>
            </w:pPr>
            <w:r>
              <w:rPr>
                <w:b/>
                <w:bCs/>
                <w:color w:val="FFFFFF"/>
                <w:sz w:val="18"/>
              </w:rPr>
              <w:t>Possible explanation</w:t>
            </w:r>
          </w:p>
        </w:tc>
        <w:tc>
          <w:tcPr>
            <w:tcW w:w="3312" w:type="dxa"/>
            <w:tcBorders>
              <w:top w:val="single" w:sz="8" w:space="0" w:color="4F81BD"/>
              <w:bottom w:val="single" w:sz="8" w:space="0" w:color="4F81BD"/>
            </w:tcBorders>
            <w:shd w:val="clear" w:color="auto" w:fill="164B73"/>
          </w:tcPr>
          <w:p w14:paraId="66733DAF" w14:textId="77777777" w:rsidR="001E77C4" w:rsidRDefault="00857D97">
            <w:pPr>
              <w:spacing w:after="0" w:line="240" w:lineRule="auto"/>
              <w:rPr>
                <w:rFonts w:hint="eastAsia"/>
                <w:b/>
                <w:bCs/>
                <w:color w:val="FFFFFF"/>
                <w:sz w:val="18"/>
              </w:rPr>
            </w:pPr>
            <w:r>
              <w:rPr>
                <w:b/>
                <w:bCs/>
                <w:color w:val="FFFFFF"/>
                <w:sz w:val="18"/>
              </w:rPr>
              <w:t>Validation needed</w:t>
            </w:r>
          </w:p>
        </w:tc>
      </w:tr>
      <w:tr w:rsidR="001E77C4" w14:paraId="6DDCA54F" w14:textId="77777777">
        <w:tc>
          <w:tcPr>
            <w:tcW w:w="3312" w:type="dxa"/>
            <w:shd w:val="clear" w:color="auto" w:fill="D3DFEE"/>
          </w:tcPr>
          <w:p w14:paraId="4D4858C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 xml:space="preserve">Revenue rises while orders stay </w:t>
            </w:r>
            <w:r>
              <w:rPr>
                <w:bCs/>
                <w:color w:val="365F91" w:themeColor="accent1" w:themeShade="BF"/>
                <w:sz w:val="18"/>
              </w:rPr>
              <w:t>flat</w:t>
            </w:r>
          </w:p>
        </w:tc>
        <w:tc>
          <w:tcPr>
            <w:tcW w:w="3312" w:type="dxa"/>
            <w:shd w:val="clear" w:color="auto" w:fill="D3DFEE"/>
          </w:tcPr>
          <w:p w14:paraId="6B83D1F1" w14:textId="77777777" w:rsidR="001E77C4" w:rsidRDefault="00857D97">
            <w:pPr>
              <w:spacing w:after="0" w:line="240" w:lineRule="auto"/>
              <w:rPr>
                <w:rFonts w:hint="eastAsia"/>
                <w:color w:val="365F91" w:themeColor="accent1" w:themeShade="BF"/>
                <w:sz w:val="18"/>
              </w:rPr>
            </w:pPr>
            <w:r>
              <w:rPr>
                <w:color w:val="365F91" w:themeColor="accent1" w:themeShade="BF"/>
                <w:sz w:val="18"/>
              </w:rPr>
              <w:t>Higher AOV, product mix, or price changes</w:t>
            </w:r>
          </w:p>
        </w:tc>
        <w:tc>
          <w:tcPr>
            <w:tcW w:w="3312" w:type="dxa"/>
            <w:shd w:val="clear" w:color="auto" w:fill="D3DFEE"/>
          </w:tcPr>
          <w:p w14:paraId="3B19F519" w14:textId="77777777" w:rsidR="001E77C4" w:rsidRDefault="00857D97">
            <w:pPr>
              <w:spacing w:after="0" w:line="240" w:lineRule="auto"/>
              <w:rPr>
                <w:rFonts w:hint="eastAsia"/>
                <w:color w:val="365F91" w:themeColor="accent1" w:themeShade="BF"/>
                <w:sz w:val="18"/>
              </w:rPr>
            </w:pPr>
            <w:r>
              <w:rPr>
                <w:color w:val="365F91" w:themeColor="accent1" w:themeShade="BF"/>
                <w:sz w:val="18"/>
              </w:rPr>
              <w:t>Decompose revenue into orders × AOV and compare margin.</w:t>
            </w:r>
          </w:p>
        </w:tc>
      </w:tr>
      <w:tr w:rsidR="001E77C4" w14:paraId="32E8A03D" w14:textId="77777777">
        <w:tc>
          <w:tcPr>
            <w:tcW w:w="3312" w:type="dxa"/>
            <w:shd w:val="clear" w:color="auto" w:fill="EEF4F8"/>
          </w:tcPr>
          <w:p w14:paraId="44BEB0C0"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Traffic rises but conversion falls</w:t>
            </w:r>
          </w:p>
        </w:tc>
        <w:tc>
          <w:tcPr>
            <w:tcW w:w="3312" w:type="dxa"/>
            <w:shd w:val="clear" w:color="auto" w:fill="EEF4F8"/>
          </w:tcPr>
          <w:p w14:paraId="628F82B3" w14:textId="77777777" w:rsidR="001E77C4" w:rsidRDefault="00857D97">
            <w:pPr>
              <w:spacing w:after="0" w:line="240" w:lineRule="auto"/>
              <w:rPr>
                <w:rFonts w:hint="eastAsia"/>
                <w:color w:val="365F91" w:themeColor="accent1" w:themeShade="BF"/>
                <w:sz w:val="18"/>
              </w:rPr>
            </w:pPr>
            <w:r>
              <w:rPr>
                <w:color w:val="365F91" w:themeColor="accent1" w:themeShade="BF"/>
                <w:sz w:val="18"/>
              </w:rPr>
              <w:t>Lower-intent acquisition, UX friction, or tracking change</w:t>
            </w:r>
          </w:p>
        </w:tc>
        <w:tc>
          <w:tcPr>
            <w:tcW w:w="3312" w:type="dxa"/>
            <w:shd w:val="clear" w:color="auto" w:fill="EEF4F8"/>
          </w:tcPr>
          <w:p w14:paraId="3695FBC6"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channel/device mix and funnel stages.</w:t>
            </w:r>
          </w:p>
        </w:tc>
      </w:tr>
      <w:tr w:rsidR="001E77C4" w14:paraId="2C04A36D" w14:textId="77777777">
        <w:tc>
          <w:tcPr>
            <w:tcW w:w="3312" w:type="dxa"/>
            <w:shd w:val="clear" w:color="auto" w:fill="D3DFEE"/>
          </w:tcPr>
          <w:p w14:paraId="21581EA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Discounted orders increase but profit falls</w:t>
            </w:r>
          </w:p>
        </w:tc>
        <w:tc>
          <w:tcPr>
            <w:tcW w:w="3312" w:type="dxa"/>
            <w:shd w:val="clear" w:color="auto" w:fill="D3DFEE"/>
          </w:tcPr>
          <w:p w14:paraId="4C9D9682" w14:textId="77777777" w:rsidR="001E77C4" w:rsidRDefault="00857D97">
            <w:pPr>
              <w:spacing w:after="0" w:line="240" w:lineRule="auto"/>
              <w:rPr>
                <w:rFonts w:hint="eastAsia"/>
                <w:color w:val="365F91" w:themeColor="accent1" w:themeShade="BF"/>
                <w:sz w:val="18"/>
              </w:rPr>
            </w:pPr>
            <w:r>
              <w:rPr>
                <w:color w:val="365F91" w:themeColor="accent1" w:themeShade="BF"/>
                <w:sz w:val="18"/>
              </w:rPr>
              <w:t>Discount cost exceeds incremental demand</w:t>
            </w:r>
          </w:p>
        </w:tc>
        <w:tc>
          <w:tcPr>
            <w:tcW w:w="3312" w:type="dxa"/>
            <w:shd w:val="clear" w:color="auto" w:fill="D3DFEE"/>
          </w:tcPr>
          <w:p w14:paraId="54A3D3E4"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Measure contribution margin and use a control group.</w:t>
            </w:r>
          </w:p>
        </w:tc>
      </w:tr>
      <w:tr w:rsidR="001E77C4" w14:paraId="6AF9B7B6" w14:textId="77777777">
        <w:tc>
          <w:tcPr>
            <w:tcW w:w="3312" w:type="dxa"/>
            <w:shd w:val="clear" w:color="auto" w:fill="EEF4F8"/>
          </w:tcPr>
          <w:p w14:paraId="48FE5F05"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RFM high spend but low frequency</w:t>
            </w:r>
          </w:p>
        </w:tc>
        <w:tc>
          <w:tcPr>
            <w:tcW w:w="3312" w:type="dxa"/>
            <w:shd w:val="clear" w:color="auto" w:fill="EEF4F8"/>
          </w:tcPr>
          <w:p w14:paraId="61901529" w14:textId="77777777" w:rsidR="001E77C4" w:rsidRDefault="00857D97">
            <w:pPr>
              <w:spacing w:after="0" w:line="240" w:lineRule="auto"/>
              <w:rPr>
                <w:rFonts w:hint="eastAsia"/>
                <w:color w:val="365F91" w:themeColor="accent1" w:themeShade="BF"/>
                <w:sz w:val="18"/>
              </w:rPr>
            </w:pPr>
            <w:r>
              <w:rPr>
                <w:color w:val="365F91" w:themeColor="accent1" w:themeShade="BF"/>
                <w:sz w:val="18"/>
              </w:rPr>
              <w:t>One unusually large order</w:t>
            </w:r>
          </w:p>
        </w:tc>
        <w:tc>
          <w:tcPr>
            <w:tcW w:w="3312" w:type="dxa"/>
            <w:shd w:val="clear" w:color="auto" w:fill="EEF4F8"/>
          </w:tcPr>
          <w:p w14:paraId="6F88B7A2"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Inspect order history and later-period repeat </w:t>
            </w:r>
            <w:proofErr w:type="spellStart"/>
            <w:r>
              <w:rPr>
                <w:color w:val="365F91" w:themeColor="accent1" w:themeShade="BF"/>
                <w:sz w:val="18"/>
              </w:rPr>
              <w:t>behaviour</w:t>
            </w:r>
            <w:proofErr w:type="spellEnd"/>
            <w:r>
              <w:rPr>
                <w:color w:val="365F91" w:themeColor="accent1" w:themeShade="BF"/>
                <w:sz w:val="18"/>
              </w:rPr>
              <w:t>.</w:t>
            </w:r>
          </w:p>
        </w:tc>
      </w:tr>
      <w:tr w:rsidR="001E77C4" w14:paraId="6AEDFF4C" w14:textId="77777777">
        <w:tc>
          <w:tcPr>
            <w:tcW w:w="3312" w:type="dxa"/>
            <w:tcBorders>
              <w:bottom w:val="single" w:sz="8" w:space="0" w:color="4F81BD"/>
            </w:tcBorders>
            <w:shd w:val="clear" w:color="auto" w:fill="D3DFEE"/>
          </w:tcPr>
          <w:p w14:paraId="0909B6A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Forecast misses seasonal peaks</w:t>
            </w:r>
          </w:p>
        </w:tc>
        <w:tc>
          <w:tcPr>
            <w:tcW w:w="3312" w:type="dxa"/>
            <w:tcBorders>
              <w:bottom w:val="single" w:sz="8" w:space="0" w:color="4F81BD"/>
            </w:tcBorders>
            <w:shd w:val="clear" w:color="auto" w:fill="D3DFEE"/>
          </w:tcPr>
          <w:p w14:paraId="54B20AE6" w14:textId="77777777" w:rsidR="001E77C4" w:rsidRDefault="00857D97">
            <w:pPr>
              <w:spacing w:after="0" w:line="240" w:lineRule="auto"/>
              <w:rPr>
                <w:rFonts w:hint="eastAsia"/>
                <w:color w:val="365F91" w:themeColor="accent1" w:themeShade="BF"/>
                <w:sz w:val="18"/>
              </w:rPr>
            </w:pPr>
            <w:r>
              <w:rPr>
                <w:color w:val="365F91" w:themeColor="accent1" w:themeShade="BF"/>
                <w:sz w:val="18"/>
              </w:rPr>
              <w:t>Model lacks seasonal features or promotion calendar</w:t>
            </w:r>
          </w:p>
        </w:tc>
        <w:tc>
          <w:tcPr>
            <w:tcW w:w="3312" w:type="dxa"/>
            <w:tcBorders>
              <w:bottom w:val="single" w:sz="8" w:space="0" w:color="4F81BD"/>
            </w:tcBorders>
            <w:shd w:val="clear" w:color="auto" w:fill="D3DFEE"/>
          </w:tcPr>
          <w:p w14:paraId="4D5903A7"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seasonal baselines and annotate events.</w:t>
            </w:r>
          </w:p>
        </w:tc>
      </w:tr>
    </w:tbl>
    <w:p w14:paraId="4767FA73" w14:textId="77777777" w:rsidR="001E77C4" w:rsidRDefault="001E77C4">
      <w:pPr>
        <w:rPr>
          <w:rFonts w:hint="eastAsia"/>
        </w:rPr>
      </w:pPr>
    </w:p>
    <w:p w14:paraId="7AFFE0B8" w14:textId="77777777" w:rsidR="001E77C4" w:rsidRDefault="00857D97">
      <w:pPr>
        <w:pStyle w:val="Heading2"/>
      </w:pPr>
      <w:r>
        <w:t>10.2 Correlation is not causation</w:t>
      </w:r>
    </w:p>
    <w:p w14:paraId="455CF5F8" w14:textId="77777777" w:rsidR="001E77C4" w:rsidRDefault="00857D97">
      <w:pPr>
        <w:spacing w:after="100"/>
        <w:rPr>
          <w:rFonts w:hint="eastAsia"/>
        </w:rPr>
      </w:pPr>
      <w:r>
        <w:t xml:space="preserve">Correlations between discounts, channel, price, and conversion may be </w:t>
      </w:r>
      <w:r>
        <w:t>confounded by campaign targeting, customer intent, product category, or seasonality. A correlation coefficient describes association in the observed data; it does not show that changing one variable will cause the outcome to change. Use experiments, quasi-</w:t>
      </w:r>
      <w:r>
        <w:t>experimental methods, or careful controls for causal questions.</w:t>
      </w:r>
    </w:p>
    <w:p w14:paraId="1A550024" w14:textId="77777777" w:rsidR="001E77C4" w:rsidRDefault="00857D97">
      <w:pPr>
        <w:pStyle w:val="Heading2"/>
      </w:pPr>
      <w:r>
        <w:t>10.3 Limitations</w:t>
      </w:r>
    </w:p>
    <w:p w14:paraId="49F31EC6" w14:textId="77777777" w:rsidR="001E77C4" w:rsidRDefault="00857D97">
      <w:pPr>
        <w:pStyle w:val="ListBullet"/>
        <w:spacing w:after="40"/>
        <w:rPr>
          <w:rFonts w:hint="eastAsia"/>
        </w:rPr>
      </w:pPr>
      <w:r>
        <w:t>The example figures in this draft are simulated and cannot support factual claims about a real retailer.</w:t>
      </w:r>
    </w:p>
    <w:p w14:paraId="0EF06687" w14:textId="77777777" w:rsidR="001E77C4" w:rsidRDefault="00857D97">
      <w:pPr>
        <w:pStyle w:val="ListBullet"/>
        <w:spacing w:after="40"/>
        <w:rPr>
          <w:rFonts w:hint="eastAsia"/>
        </w:rPr>
      </w:pPr>
      <w:r>
        <w:t xml:space="preserve">No transaction-level files, prior-week reports, or website event logs </w:t>
      </w:r>
      <w:r>
        <w:t>were provided with the screenshots.</w:t>
      </w:r>
    </w:p>
    <w:p w14:paraId="3799FF4B" w14:textId="77777777" w:rsidR="001E77C4" w:rsidRDefault="00857D97">
      <w:pPr>
        <w:pStyle w:val="ListBullet"/>
        <w:spacing w:after="40"/>
        <w:rPr>
          <w:rFonts w:hint="eastAsia"/>
        </w:rPr>
      </w:pPr>
      <w:r>
        <w:t>The example forecast is a baseline illustration and has not been validated against a held-out real dataset.</w:t>
      </w:r>
    </w:p>
    <w:p w14:paraId="29E3A734" w14:textId="77777777" w:rsidR="001E77C4" w:rsidRDefault="00857D97">
      <w:pPr>
        <w:pStyle w:val="ListBullet"/>
        <w:spacing w:after="40"/>
        <w:rPr>
          <w:rFonts w:hint="eastAsia"/>
        </w:rPr>
      </w:pPr>
      <w:r>
        <w:t>Attribution may over-credit channels that appear late in the customer journey.</w:t>
      </w:r>
    </w:p>
    <w:p w14:paraId="1D925042" w14:textId="77777777" w:rsidR="001E77C4" w:rsidRDefault="00857D97">
      <w:pPr>
        <w:pStyle w:val="ListBullet"/>
        <w:spacing w:after="40"/>
        <w:rPr>
          <w:rFonts w:hint="eastAsia"/>
        </w:rPr>
      </w:pPr>
      <w:r>
        <w:t>Pricing comparisons may be affect</w:t>
      </w:r>
      <w:r>
        <w:t>ed by product mix, margin, promotions, and customer selection.</w:t>
      </w:r>
    </w:p>
    <w:p w14:paraId="111DA9B4" w14:textId="77777777" w:rsidR="001E77C4" w:rsidRDefault="00857D97">
      <w:pPr>
        <w:pStyle w:val="ListBullet"/>
        <w:spacing w:after="40"/>
        <w:rPr>
          <w:rFonts w:hint="eastAsia"/>
        </w:rPr>
      </w:pPr>
      <w:r>
        <w:t>Customer segmentation quality depends on the observation window and business-specific thresholds.</w:t>
      </w:r>
    </w:p>
    <w:p w14:paraId="3A041AEF" w14:textId="77777777" w:rsidR="001E77C4" w:rsidRDefault="00857D97">
      <w:pPr>
        <w:pStyle w:val="Heading2"/>
      </w:pPr>
      <w:r>
        <w:t>10.4 How to make the report evidence-based</w:t>
      </w:r>
    </w:p>
    <w:p w14:paraId="4A8A13AC" w14:textId="77777777" w:rsidR="001E77C4" w:rsidRDefault="00857D97">
      <w:pPr>
        <w:spacing w:after="100"/>
        <w:rPr>
          <w:rFonts w:hint="eastAsia"/>
        </w:rPr>
      </w:pPr>
      <w:r>
        <w:t>Replace all illustrative charts and figures with out</w:t>
      </w:r>
      <w:r>
        <w:t>puts from the actual dataset. Add the date range, row counts, excluded-record counts, and metric definitions. Include at least one validation table, one real example of a data-quality issue and its treatment, and a short explanation of how each finding was</w:t>
      </w:r>
      <w:r>
        <w:t xml:space="preserve"> calculated. If a result cannot be reproduced from the source data, do not present it as a finding.</w:t>
      </w:r>
    </w:p>
    <w:p w14:paraId="2E2186F3" w14:textId="77777777" w:rsidR="001E77C4" w:rsidRDefault="00857D97">
      <w:pPr>
        <w:rPr>
          <w:rFonts w:hint="eastAsia"/>
        </w:rPr>
      </w:pPr>
      <w:r>
        <w:br w:type="page"/>
      </w:r>
    </w:p>
    <w:p w14:paraId="5742ED78" w14:textId="77777777" w:rsidR="001E77C4" w:rsidRDefault="00857D97">
      <w:pPr>
        <w:pStyle w:val="Heading1"/>
        <w:spacing w:before="0"/>
      </w:pPr>
      <w:r>
        <w:lastRenderedPageBreak/>
        <w:t>11. Recommendations and Implementation Roadmap</w:t>
      </w:r>
    </w:p>
    <w:tbl>
      <w:tblPr>
        <w:tblW w:w="9936" w:type="dxa"/>
        <w:tblInd w:w="-108" w:type="dxa"/>
        <w:tblLayout w:type="fixed"/>
        <w:tblLook w:val="0000" w:firstRow="0" w:lastRow="0" w:firstColumn="0" w:lastColumn="0" w:noHBand="0" w:noVBand="0"/>
      </w:tblPr>
      <w:tblGrid>
        <w:gridCol w:w="2484"/>
        <w:gridCol w:w="2484"/>
        <w:gridCol w:w="2484"/>
        <w:gridCol w:w="2484"/>
      </w:tblGrid>
      <w:tr w:rsidR="001E77C4" w14:paraId="75C3EE94" w14:textId="77777777">
        <w:tc>
          <w:tcPr>
            <w:tcW w:w="2484" w:type="dxa"/>
            <w:tcBorders>
              <w:top w:val="single" w:sz="8" w:space="0" w:color="4F81BD"/>
              <w:bottom w:val="single" w:sz="8" w:space="0" w:color="4F81BD"/>
            </w:tcBorders>
            <w:shd w:val="clear" w:color="auto" w:fill="164B73"/>
          </w:tcPr>
          <w:p w14:paraId="3D9D0297" w14:textId="77777777" w:rsidR="001E77C4" w:rsidRDefault="00857D97">
            <w:pPr>
              <w:spacing w:after="0" w:line="240" w:lineRule="auto"/>
              <w:rPr>
                <w:rFonts w:hint="eastAsia"/>
                <w:b/>
                <w:bCs/>
                <w:color w:val="FFFFFF"/>
                <w:sz w:val="18"/>
              </w:rPr>
            </w:pPr>
            <w:r>
              <w:rPr>
                <w:b/>
                <w:bCs/>
                <w:color w:val="FFFFFF"/>
                <w:sz w:val="18"/>
              </w:rPr>
              <w:t>Priority</w:t>
            </w:r>
          </w:p>
        </w:tc>
        <w:tc>
          <w:tcPr>
            <w:tcW w:w="2484" w:type="dxa"/>
            <w:tcBorders>
              <w:top w:val="single" w:sz="8" w:space="0" w:color="4F81BD"/>
              <w:bottom w:val="single" w:sz="8" w:space="0" w:color="4F81BD"/>
            </w:tcBorders>
            <w:shd w:val="clear" w:color="auto" w:fill="164B73"/>
          </w:tcPr>
          <w:p w14:paraId="4B792735" w14:textId="77777777" w:rsidR="001E77C4" w:rsidRDefault="00857D97">
            <w:pPr>
              <w:spacing w:after="0" w:line="240" w:lineRule="auto"/>
              <w:rPr>
                <w:rFonts w:hint="eastAsia"/>
                <w:b/>
                <w:bCs/>
                <w:color w:val="FFFFFF"/>
                <w:sz w:val="18"/>
              </w:rPr>
            </w:pPr>
            <w:r>
              <w:rPr>
                <w:b/>
                <w:bCs/>
                <w:color w:val="FFFFFF"/>
                <w:sz w:val="18"/>
              </w:rPr>
              <w:t>Action</w:t>
            </w:r>
          </w:p>
        </w:tc>
        <w:tc>
          <w:tcPr>
            <w:tcW w:w="2484" w:type="dxa"/>
            <w:tcBorders>
              <w:top w:val="single" w:sz="8" w:space="0" w:color="4F81BD"/>
              <w:bottom w:val="single" w:sz="8" w:space="0" w:color="4F81BD"/>
            </w:tcBorders>
            <w:shd w:val="clear" w:color="auto" w:fill="164B73"/>
          </w:tcPr>
          <w:p w14:paraId="01E1F99E" w14:textId="77777777" w:rsidR="001E77C4" w:rsidRDefault="00857D97">
            <w:pPr>
              <w:spacing w:after="0" w:line="240" w:lineRule="auto"/>
              <w:rPr>
                <w:rFonts w:hint="eastAsia"/>
                <w:b/>
                <w:bCs/>
                <w:color w:val="FFFFFF"/>
                <w:sz w:val="18"/>
              </w:rPr>
            </w:pPr>
            <w:r>
              <w:rPr>
                <w:b/>
                <w:bCs/>
                <w:color w:val="FFFFFF"/>
                <w:sz w:val="18"/>
              </w:rPr>
              <w:t>Success measure</w:t>
            </w:r>
          </w:p>
        </w:tc>
        <w:tc>
          <w:tcPr>
            <w:tcW w:w="2484" w:type="dxa"/>
            <w:tcBorders>
              <w:top w:val="single" w:sz="8" w:space="0" w:color="4F81BD"/>
              <w:bottom w:val="single" w:sz="8" w:space="0" w:color="4F81BD"/>
            </w:tcBorders>
            <w:shd w:val="clear" w:color="auto" w:fill="164B73"/>
          </w:tcPr>
          <w:p w14:paraId="5531E250" w14:textId="77777777" w:rsidR="001E77C4" w:rsidRDefault="00857D97">
            <w:pPr>
              <w:spacing w:after="0" w:line="240" w:lineRule="auto"/>
              <w:rPr>
                <w:rFonts w:hint="eastAsia"/>
                <w:b/>
                <w:bCs/>
                <w:color w:val="FFFFFF"/>
                <w:sz w:val="18"/>
              </w:rPr>
            </w:pPr>
            <w:r>
              <w:rPr>
                <w:b/>
                <w:bCs/>
                <w:color w:val="FFFFFF"/>
                <w:sz w:val="18"/>
              </w:rPr>
              <w:t>Timing</w:t>
            </w:r>
          </w:p>
        </w:tc>
      </w:tr>
      <w:tr w:rsidR="001E77C4" w14:paraId="500CD57D" w14:textId="77777777">
        <w:tc>
          <w:tcPr>
            <w:tcW w:w="2484" w:type="dxa"/>
            <w:shd w:val="clear" w:color="auto" w:fill="D3DFEE"/>
          </w:tcPr>
          <w:p w14:paraId="78A49A9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1 – Data foundation</w:t>
            </w:r>
          </w:p>
        </w:tc>
        <w:tc>
          <w:tcPr>
            <w:tcW w:w="2484" w:type="dxa"/>
            <w:shd w:val="clear" w:color="auto" w:fill="D3DFEE"/>
          </w:tcPr>
          <w:p w14:paraId="5DCBE314"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Create a documented clean-data pipeline and </w:t>
            </w:r>
            <w:r>
              <w:rPr>
                <w:color w:val="365F91" w:themeColor="accent1" w:themeShade="BF"/>
                <w:sz w:val="18"/>
              </w:rPr>
              <w:t>KPI dictionary</w:t>
            </w:r>
          </w:p>
        </w:tc>
        <w:tc>
          <w:tcPr>
            <w:tcW w:w="2484" w:type="dxa"/>
            <w:shd w:val="clear" w:color="auto" w:fill="D3DFEE"/>
          </w:tcPr>
          <w:p w14:paraId="71D36E13" w14:textId="77777777" w:rsidR="001E77C4" w:rsidRDefault="00857D97">
            <w:pPr>
              <w:spacing w:after="0" w:line="240" w:lineRule="auto"/>
              <w:rPr>
                <w:rFonts w:hint="eastAsia"/>
                <w:color w:val="365F91" w:themeColor="accent1" w:themeShade="BF"/>
                <w:sz w:val="18"/>
              </w:rPr>
            </w:pPr>
            <w:r>
              <w:rPr>
                <w:color w:val="365F91" w:themeColor="accent1" w:themeShade="BF"/>
                <w:sz w:val="18"/>
              </w:rPr>
              <w:t>Reconciliation pass rate; missing-ID rate; refresh success</w:t>
            </w:r>
          </w:p>
        </w:tc>
        <w:tc>
          <w:tcPr>
            <w:tcW w:w="2484" w:type="dxa"/>
            <w:shd w:val="clear" w:color="auto" w:fill="D3DFEE"/>
          </w:tcPr>
          <w:p w14:paraId="5732B9C0" w14:textId="77777777" w:rsidR="001E77C4" w:rsidRDefault="00857D97">
            <w:pPr>
              <w:spacing w:after="0" w:line="240" w:lineRule="auto"/>
              <w:rPr>
                <w:rFonts w:hint="eastAsia"/>
                <w:color w:val="365F91" w:themeColor="accent1" w:themeShade="BF"/>
                <w:sz w:val="18"/>
              </w:rPr>
            </w:pPr>
            <w:r>
              <w:rPr>
                <w:color w:val="365F91" w:themeColor="accent1" w:themeShade="BF"/>
                <w:sz w:val="18"/>
              </w:rPr>
              <w:t>Weeks 1–2</w:t>
            </w:r>
          </w:p>
        </w:tc>
      </w:tr>
      <w:tr w:rsidR="001E77C4" w14:paraId="1FC8CBAD" w14:textId="77777777">
        <w:tc>
          <w:tcPr>
            <w:tcW w:w="2484" w:type="dxa"/>
            <w:shd w:val="clear" w:color="auto" w:fill="EEF4F8"/>
          </w:tcPr>
          <w:p w14:paraId="1766F4F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2 – Customer retention</w:t>
            </w:r>
          </w:p>
        </w:tc>
        <w:tc>
          <w:tcPr>
            <w:tcW w:w="2484" w:type="dxa"/>
            <w:shd w:val="clear" w:color="auto" w:fill="EEF4F8"/>
          </w:tcPr>
          <w:p w14:paraId="63D0E91E" w14:textId="77777777" w:rsidR="001E77C4" w:rsidRDefault="00857D97">
            <w:pPr>
              <w:spacing w:after="0" w:line="240" w:lineRule="auto"/>
              <w:rPr>
                <w:rFonts w:hint="eastAsia"/>
                <w:color w:val="365F91" w:themeColor="accent1" w:themeShade="BF"/>
                <w:sz w:val="18"/>
              </w:rPr>
            </w:pPr>
            <w:r>
              <w:rPr>
                <w:color w:val="365F91" w:themeColor="accent1" w:themeShade="BF"/>
                <w:sz w:val="18"/>
              </w:rPr>
              <w:t>Pilot separate campaigns for champions, potential loyalists, and at-risk customers</w:t>
            </w:r>
          </w:p>
        </w:tc>
        <w:tc>
          <w:tcPr>
            <w:tcW w:w="2484" w:type="dxa"/>
            <w:shd w:val="clear" w:color="auto" w:fill="EEF4F8"/>
          </w:tcPr>
          <w:p w14:paraId="608C1CFB" w14:textId="77777777" w:rsidR="001E77C4" w:rsidRDefault="00857D97">
            <w:pPr>
              <w:spacing w:after="0" w:line="240" w:lineRule="auto"/>
              <w:rPr>
                <w:rFonts w:hint="eastAsia"/>
                <w:color w:val="365F91" w:themeColor="accent1" w:themeShade="BF"/>
                <w:sz w:val="18"/>
              </w:rPr>
            </w:pPr>
            <w:r>
              <w:rPr>
                <w:color w:val="365F91" w:themeColor="accent1" w:themeShade="BF"/>
                <w:sz w:val="18"/>
              </w:rPr>
              <w:t>Repeat purchase rate; incremental margin; unsubscribe rate</w:t>
            </w:r>
          </w:p>
        </w:tc>
        <w:tc>
          <w:tcPr>
            <w:tcW w:w="2484" w:type="dxa"/>
            <w:shd w:val="clear" w:color="auto" w:fill="EEF4F8"/>
          </w:tcPr>
          <w:p w14:paraId="7A40B766"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Weeks </w:t>
            </w:r>
            <w:r>
              <w:rPr>
                <w:color w:val="365F91" w:themeColor="accent1" w:themeShade="BF"/>
                <w:sz w:val="18"/>
              </w:rPr>
              <w:t>2–4</w:t>
            </w:r>
          </w:p>
        </w:tc>
      </w:tr>
      <w:tr w:rsidR="001E77C4" w14:paraId="4A90805D" w14:textId="77777777">
        <w:tc>
          <w:tcPr>
            <w:tcW w:w="2484" w:type="dxa"/>
            <w:shd w:val="clear" w:color="auto" w:fill="D3DFEE"/>
          </w:tcPr>
          <w:p w14:paraId="753A7CFE"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 xml:space="preserve">3 – Website </w:t>
            </w:r>
            <w:proofErr w:type="spellStart"/>
            <w:r>
              <w:rPr>
                <w:bCs/>
                <w:color w:val="365F91" w:themeColor="accent1" w:themeShade="BF"/>
                <w:sz w:val="18"/>
              </w:rPr>
              <w:t>optimisation</w:t>
            </w:r>
            <w:proofErr w:type="spellEnd"/>
          </w:p>
        </w:tc>
        <w:tc>
          <w:tcPr>
            <w:tcW w:w="2484" w:type="dxa"/>
            <w:shd w:val="clear" w:color="auto" w:fill="D3DFEE"/>
          </w:tcPr>
          <w:p w14:paraId="5FDA119C" w14:textId="77777777" w:rsidR="001E77C4" w:rsidRDefault="00857D97">
            <w:pPr>
              <w:spacing w:after="0" w:line="240" w:lineRule="auto"/>
              <w:rPr>
                <w:rFonts w:hint="eastAsia"/>
                <w:color w:val="365F91" w:themeColor="accent1" w:themeShade="BF"/>
                <w:sz w:val="18"/>
              </w:rPr>
            </w:pPr>
            <w:r>
              <w:rPr>
                <w:color w:val="365F91" w:themeColor="accent1" w:themeShade="BF"/>
                <w:sz w:val="18"/>
              </w:rPr>
              <w:t>Investigate mobile checkout and channel-specific landing pages</w:t>
            </w:r>
          </w:p>
        </w:tc>
        <w:tc>
          <w:tcPr>
            <w:tcW w:w="2484" w:type="dxa"/>
            <w:shd w:val="clear" w:color="auto" w:fill="D3DFEE"/>
          </w:tcPr>
          <w:p w14:paraId="4BE278E5" w14:textId="77777777" w:rsidR="001E77C4" w:rsidRDefault="00857D97">
            <w:pPr>
              <w:spacing w:after="0" w:line="240" w:lineRule="auto"/>
              <w:rPr>
                <w:rFonts w:hint="eastAsia"/>
                <w:color w:val="365F91" w:themeColor="accent1" w:themeShade="BF"/>
                <w:sz w:val="18"/>
              </w:rPr>
            </w:pPr>
            <w:r>
              <w:rPr>
                <w:color w:val="365F91" w:themeColor="accent1" w:themeShade="BF"/>
                <w:sz w:val="18"/>
              </w:rPr>
              <w:t>Conversion rate; checkout completion; payment failure rate</w:t>
            </w:r>
          </w:p>
        </w:tc>
        <w:tc>
          <w:tcPr>
            <w:tcW w:w="2484" w:type="dxa"/>
            <w:shd w:val="clear" w:color="auto" w:fill="D3DFEE"/>
          </w:tcPr>
          <w:p w14:paraId="4A44C042" w14:textId="77777777" w:rsidR="001E77C4" w:rsidRDefault="00857D97">
            <w:pPr>
              <w:spacing w:after="0" w:line="240" w:lineRule="auto"/>
              <w:rPr>
                <w:rFonts w:hint="eastAsia"/>
                <w:color w:val="365F91" w:themeColor="accent1" w:themeShade="BF"/>
                <w:sz w:val="18"/>
              </w:rPr>
            </w:pPr>
            <w:r>
              <w:rPr>
                <w:color w:val="365F91" w:themeColor="accent1" w:themeShade="BF"/>
                <w:sz w:val="18"/>
              </w:rPr>
              <w:t>Weeks 3–6</w:t>
            </w:r>
          </w:p>
        </w:tc>
      </w:tr>
      <w:tr w:rsidR="001E77C4" w14:paraId="3428CE50" w14:textId="77777777">
        <w:tc>
          <w:tcPr>
            <w:tcW w:w="2484" w:type="dxa"/>
            <w:shd w:val="clear" w:color="auto" w:fill="EEF4F8"/>
          </w:tcPr>
          <w:p w14:paraId="2499483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4 – Pricing tests</w:t>
            </w:r>
          </w:p>
        </w:tc>
        <w:tc>
          <w:tcPr>
            <w:tcW w:w="2484" w:type="dxa"/>
            <w:shd w:val="clear" w:color="auto" w:fill="EEF4F8"/>
          </w:tcPr>
          <w:p w14:paraId="2773B341"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Test targeted offers or bundles by category with margin </w:t>
            </w:r>
            <w:r>
              <w:rPr>
                <w:color w:val="365F91" w:themeColor="accent1" w:themeShade="BF"/>
                <w:sz w:val="18"/>
              </w:rPr>
              <w:t>guardrails</w:t>
            </w:r>
          </w:p>
        </w:tc>
        <w:tc>
          <w:tcPr>
            <w:tcW w:w="2484" w:type="dxa"/>
            <w:shd w:val="clear" w:color="auto" w:fill="EEF4F8"/>
          </w:tcPr>
          <w:p w14:paraId="1CB09F94" w14:textId="77777777" w:rsidR="001E77C4" w:rsidRDefault="00857D97">
            <w:pPr>
              <w:spacing w:after="0" w:line="240" w:lineRule="auto"/>
              <w:rPr>
                <w:rFonts w:hint="eastAsia"/>
                <w:color w:val="365F91" w:themeColor="accent1" w:themeShade="BF"/>
                <w:sz w:val="18"/>
              </w:rPr>
            </w:pPr>
            <w:r>
              <w:rPr>
                <w:color w:val="365F91" w:themeColor="accent1" w:themeShade="BF"/>
                <w:sz w:val="18"/>
              </w:rPr>
              <w:t>Contribution margin per visitor; AOV; return rate</w:t>
            </w:r>
          </w:p>
        </w:tc>
        <w:tc>
          <w:tcPr>
            <w:tcW w:w="2484" w:type="dxa"/>
            <w:shd w:val="clear" w:color="auto" w:fill="EEF4F8"/>
          </w:tcPr>
          <w:p w14:paraId="3EE6B7DF" w14:textId="77777777" w:rsidR="001E77C4" w:rsidRDefault="00857D97">
            <w:pPr>
              <w:spacing w:after="0" w:line="240" w:lineRule="auto"/>
              <w:rPr>
                <w:rFonts w:hint="eastAsia"/>
                <w:color w:val="365F91" w:themeColor="accent1" w:themeShade="BF"/>
                <w:sz w:val="18"/>
              </w:rPr>
            </w:pPr>
            <w:r>
              <w:rPr>
                <w:color w:val="365F91" w:themeColor="accent1" w:themeShade="BF"/>
                <w:sz w:val="18"/>
              </w:rPr>
              <w:t>Weeks 4–8</w:t>
            </w:r>
          </w:p>
        </w:tc>
      </w:tr>
      <w:tr w:rsidR="001E77C4" w14:paraId="693E1AC4" w14:textId="77777777">
        <w:tc>
          <w:tcPr>
            <w:tcW w:w="2484" w:type="dxa"/>
            <w:shd w:val="clear" w:color="auto" w:fill="D3DFEE"/>
          </w:tcPr>
          <w:p w14:paraId="1C7FA6E9"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5 – Forecasting</w:t>
            </w:r>
          </w:p>
        </w:tc>
        <w:tc>
          <w:tcPr>
            <w:tcW w:w="2484" w:type="dxa"/>
            <w:shd w:val="clear" w:color="auto" w:fill="D3DFEE"/>
          </w:tcPr>
          <w:p w14:paraId="6832F5EF" w14:textId="77777777" w:rsidR="001E77C4" w:rsidRDefault="00857D97">
            <w:pPr>
              <w:spacing w:after="0" w:line="240" w:lineRule="auto"/>
              <w:rPr>
                <w:rFonts w:hint="eastAsia"/>
                <w:color w:val="365F91" w:themeColor="accent1" w:themeShade="BF"/>
                <w:sz w:val="18"/>
              </w:rPr>
            </w:pPr>
            <w:r>
              <w:rPr>
                <w:color w:val="365F91" w:themeColor="accent1" w:themeShade="BF"/>
                <w:sz w:val="18"/>
              </w:rPr>
              <w:t>Compare seasonal-naïve and moving-average forecasts</w:t>
            </w:r>
          </w:p>
        </w:tc>
        <w:tc>
          <w:tcPr>
            <w:tcW w:w="2484" w:type="dxa"/>
            <w:shd w:val="clear" w:color="auto" w:fill="D3DFEE"/>
          </w:tcPr>
          <w:p w14:paraId="0611C1FF" w14:textId="77777777" w:rsidR="001E77C4" w:rsidRDefault="00857D97">
            <w:pPr>
              <w:spacing w:after="0" w:line="240" w:lineRule="auto"/>
              <w:rPr>
                <w:rFonts w:hint="eastAsia"/>
                <w:color w:val="365F91" w:themeColor="accent1" w:themeShade="BF"/>
                <w:sz w:val="18"/>
              </w:rPr>
            </w:pPr>
            <w:r>
              <w:rPr>
                <w:color w:val="365F91" w:themeColor="accent1" w:themeShade="BF"/>
                <w:sz w:val="18"/>
              </w:rPr>
              <w:t>MAE/RMSE; forecast bias; stockout rate</w:t>
            </w:r>
          </w:p>
        </w:tc>
        <w:tc>
          <w:tcPr>
            <w:tcW w:w="2484" w:type="dxa"/>
            <w:shd w:val="clear" w:color="auto" w:fill="D3DFEE"/>
          </w:tcPr>
          <w:p w14:paraId="724C03E3" w14:textId="77777777" w:rsidR="001E77C4" w:rsidRDefault="00857D97">
            <w:pPr>
              <w:spacing w:after="0" w:line="240" w:lineRule="auto"/>
              <w:rPr>
                <w:rFonts w:hint="eastAsia"/>
                <w:color w:val="365F91" w:themeColor="accent1" w:themeShade="BF"/>
                <w:sz w:val="18"/>
              </w:rPr>
            </w:pPr>
            <w:r>
              <w:rPr>
                <w:color w:val="365F91" w:themeColor="accent1" w:themeShade="BF"/>
                <w:sz w:val="18"/>
              </w:rPr>
              <w:t>Monthly</w:t>
            </w:r>
          </w:p>
        </w:tc>
      </w:tr>
      <w:tr w:rsidR="001E77C4" w14:paraId="433CDACF" w14:textId="77777777">
        <w:tc>
          <w:tcPr>
            <w:tcW w:w="2484" w:type="dxa"/>
            <w:tcBorders>
              <w:bottom w:val="single" w:sz="8" w:space="0" w:color="4F81BD"/>
            </w:tcBorders>
            <w:shd w:val="clear" w:color="auto" w:fill="EEF4F8"/>
          </w:tcPr>
          <w:p w14:paraId="0E95C26C"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6 – Measurement</w:t>
            </w:r>
          </w:p>
        </w:tc>
        <w:tc>
          <w:tcPr>
            <w:tcW w:w="2484" w:type="dxa"/>
            <w:tcBorders>
              <w:bottom w:val="single" w:sz="8" w:space="0" w:color="4F81BD"/>
            </w:tcBorders>
            <w:shd w:val="clear" w:color="auto" w:fill="EEF4F8"/>
          </w:tcPr>
          <w:p w14:paraId="22506E52"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Create a recurring review of segment, </w:t>
            </w:r>
            <w:r>
              <w:rPr>
                <w:color w:val="365F91" w:themeColor="accent1" w:themeShade="BF"/>
                <w:sz w:val="18"/>
              </w:rPr>
              <w:t>channel, pricing, and sales KPIs</w:t>
            </w:r>
          </w:p>
        </w:tc>
        <w:tc>
          <w:tcPr>
            <w:tcW w:w="2484" w:type="dxa"/>
            <w:tcBorders>
              <w:bottom w:val="single" w:sz="8" w:space="0" w:color="4F81BD"/>
            </w:tcBorders>
            <w:shd w:val="clear" w:color="auto" w:fill="EEF4F8"/>
          </w:tcPr>
          <w:p w14:paraId="02A50567" w14:textId="77777777" w:rsidR="001E77C4" w:rsidRDefault="00857D97">
            <w:pPr>
              <w:spacing w:after="0" w:line="240" w:lineRule="auto"/>
              <w:rPr>
                <w:rFonts w:hint="eastAsia"/>
                <w:color w:val="365F91" w:themeColor="accent1" w:themeShade="BF"/>
                <w:sz w:val="18"/>
              </w:rPr>
            </w:pPr>
            <w:r>
              <w:rPr>
                <w:color w:val="365F91" w:themeColor="accent1" w:themeShade="BF"/>
                <w:sz w:val="18"/>
              </w:rPr>
              <w:t>Action completion and KPI movement</w:t>
            </w:r>
          </w:p>
        </w:tc>
        <w:tc>
          <w:tcPr>
            <w:tcW w:w="2484" w:type="dxa"/>
            <w:tcBorders>
              <w:bottom w:val="single" w:sz="8" w:space="0" w:color="4F81BD"/>
            </w:tcBorders>
            <w:shd w:val="clear" w:color="auto" w:fill="EEF4F8"/>
          </w:tcPr>
          <w:p w14:paraId="0FCCEA15" w14:textId="77777777" w:rsidR="001E77C4" w:rsidRDefault="00857D97">
            <w:pPr>
              <w:spacing w:after="0" w:line="240" w:lineRule="auto"/>
              <w:rPr>
                <w:rFonts w:hint="eastAsia"/>
                <w:color w:val="365F91" w:themeColor="accent1" w:themeShade="BF"/>
                <w:sz w:val="18"/>
              </w:rPr>
            </w:pPr>
            <w:r>
              <w:rPr>
                <w:color w:val="365F91" w:themeColor="accent1" w:themeShade="BF"/>
                <w:sz w:val="18"/>
              </w:rPr>
              <w:t>Monthly</w:t>
            </w:r>
          </w:p>
        </w:tc>
      </w:tr>
    </w:tbl>
    <w:p w14:paraId="10A30401" w14:textId="77777777" w:rsidR="001E77C4" w:rsidRDefault="001E77C4">
      <w:pPr>
        <w:rPr>
          <w:rFonts w:hint="eastAsia"/>
        </w:rPr>
      </w:pPr>
    </w:p>
    <w:p w14:paraId="58DD54CE" w14:textId="77777777" w:rsidR="001E77C4" w:rsidRDefault="00857D97">
      <w:pPr>
        <w:pStyle w:val="Heading2"/>
      </w:pPr>
      <w:r>
        <w:t>11.1 First 30 days</w:t>
      </w:r>
    </w:p>
    <w:p w14:paraId="3E0B56C0" w14:textId="77777777" w:rsidR="001E77C4" w:rsidRDefault="00857D97">
      <w:pPr>
        <w:pStyle w:val="ListNumber"/>
        <w:spacing w:after="40"/>
        <w:rPr>
          <w:rFonts w:hint="eastAsia"/>
        </w:rPr>
      </w:pPr>
      <w:r>
        <w:t>Days 1–7: confirm data access, KPI definitions, privacy requirements, and source reconciliation.</w:t>
      </w:r>
    </w:p>
    <w:p w14:paraId="540BDD83" w14:textId="77777777" w:rsidR="001E77C4" w:rsidRDefault="00857D97">
      <w:pPr>
        <w:pStyle w:val="ListNumber"/>
        <w:spacing w:after="40"/>
        <w:rPr>
          <w:rFonts w:hint="eastAsia"/>
        </w:rPr>
      </w:pPr>
      <w:r>
        <w:t>Days 8–14: build clean customer/order/session tables and publi</w:t>
      </w:r>
      <w:r>
        <w:t>sh data-quality checks.</w:t>
      </w:r>
    </w:p>
    <w:p w14:paraId="663DDBA8" w14:textId="77777777" w:rsidR="001E77C4" w:rsidRDefault="00857D97">
      <w:pPr>
        <w:pStyle w:val="ListNumber"/>
        <w:spacing w:after="40"/>
        <w:rPr>
          <w:rFonts w:hint="eastAsia"/>
        </w:rPr>
      </w:pPr>
      <w:r>
        <w:t>Days 15–21: validate RFM segments, channel metrics, and baseline forecast; agree on one experiment.</w:t>
      </w:r>
    </w:p>
    <w:p w14:paraId="6E20998A" w14:textId="77777777" w:rsidR="001E77C4" w:rsidRDefault="00857D97">
      <w:pPr>
        <w:pStyle w:val="ListNumber"/>
        <w:spacing w:after="40"/>
        <w:rPr>
          <w:rFonts w:hint="eastAsia"/>
        </w:rPr>
      </w:pPr>
      <w:r>
        <w:t>Days 22–30: launch a small pilot, define a control group, and establish a monthly review cadence.</w:t>
      </w:r>
    </w:p>
    <w:p w14:paraId="73AF3758" w14:textId="77777777" w:rsidR="001E77C4" w:rsidRDefault="00857D97">
      <w:pPr>
        <w:pStyle w:val="Heading2"/>
      </w:pPr>
      <w:r>
        <w:t>11.2 Decision principles</w:t>
      </w:r>
    </w:p>
    <w:p w14:paraId="23EB20AF" w14:textId="77777777" w:rsidR="001E77C4" w:rsidRDefault="00857D97">
      <w:pPr>
        <w:pStyle w:val="ListBullet"/>
        <w:spacing w:after="40"/>
        <w:rPr>
          <w:rFonts w:hint="eastAsia"/>
        </w:rPr>
      </w:pPr>
      <w:proofErr w:type="spellStart"/>
      <w:r>
        <w:t>Prioritise</w:t>
      </w:r>
      <w:proofErr w:type="spellEnd"/>
      <w:r>
        <w:t xml:space="preserve"> actions with a clear owner, measurable outcome, and review date.</w:t>
      </w:r>
    </w:p>
    <w:p w14:paraId="0E519AD7" w14:textId="77777777" w:rsidR="001E77C4" w:rsidRDefault="00857D97">
      <w:pPr>
        <w:pStyle w:val="ListBullet"/>
        <w:spacing w:after="40"/>
        <w:rPr>
          <w:rFonts w:hint="eastAsia"/>
        </w:rPr>
      </w:pPr>
      <w:r>
        <w:t xml:space="preserve">Use profit or contribution margin as a guardrail when </w:t>
      </w:r>
      <w:proofErr w:type="spellStart"/>
      <w:r>
        <w:t>optimising</w:t>
      </w:r>
      <w:proofErr w:type="spellEnd"/>
      <w:r>
        <w:t xml:space="preserve"> revenue or conversion.</w:t>
      </w:r>
    </w:p>
    <w:p w14:paraId="6BADE599" w14:textId="77777777" w:rsidR="001E77C4" w:rsidRDefault="00857D97">
      <w:pPr>
        <w:pStyle w:val="ListBullet"/>
        <w:spacing w:after="40"/>
        <w:rPr>
          <w:rFonts w:hint="eastAsia"/>
        </w:rPr>
      </w:pPr>
      <w:r>
        <w:t>Prefer small controlled tests to large unverified changes.</w:t>
      </w:r>
    </w:p>
    <w:p w14:paraId="094E00F7" w14:textId="77777777" w:rsidR="001E77C4" w:rsidRDefault="00857D97">
      <w:pPr>
        <w:pStyle w:val="ListBullet"/>
        <w:spacing w:after="40"/>
        <w:rPr>
          <w:rFonts w:hint="eastAsia"/>
        </w:rPr>
      </w:pPr>
      <w:r>
        <w:t>Document decisions that depend on</w:t>
      </w:r>
      <w:r>
        <w:t xml:space="preserve"> incomplete data and revisit them when data improves.</w:t>
      </w:r>
    </w:p>
    <w:p w14:paraId="1087CA3E" w14:textId="77777777" w:rsidR="001E77C4" w:rsidRDefault="00857D97">
      <w:pPr>
        <w:rPr>
          <w:rFonts w:hint="eastAsia"/>
        </w:rPr>
      </w:pPr>
      <w:r>
        <w:br w:type="page"/>
      </w:r>
    </w:p>
    <w:p w14:paraId="44665D14" w14:textId="77777777" w:rsidR="001E77C4" w:rsidRDefault="00857D97">
      <w:pPr>
        <w:pStyle w:val="Heading1"/>
        <w:spacing w:before="0"/>
      </w:pPr>
      <w:r>
        <w:lastRenderedPageBreak/>
        <w:t>12. Future Directions</w:t>
      </w:r>
    </w:p>
    <w:p w14:paraId="260D96B8" w14:textId="77777777" w:rsidR="001E77C4" w:rsidRDefault="00857D97">
      <w:pPr>
        <w:pStyle w:val="ListBullet"/>
        <w:spacing w:after="40"/>
        <w:rPr>
          <w:rFonts w:hint="eastAsia"/>
        </w:rPr>
      </w:pPr>
      <w:r>
        <w:t xml:space="preserve">Customer lifetime value (CLV): estimate future contribution from repeat </w:t>
      </w:r>
      <w:proofErr w:type="spellStart"/>
      <w:r>
        <w:t>behaviour</w:t>
      </w:r>
      <w:proofErr w:type="spellEnd"/>
      <w:r>
        <w:t>, not revenue alone.</w:t>
      </w:r>
    </w:p>
    <w:p w14:paraId="725BCB23" w14:textId="77777777" w:rsidR="001E77C4" w:rsidRDefault="00857D97">
      <w:pPr>
        <w:pStyle w:val="ListBullet"/>
        <w:spacing w:after="40"/>
        <w:rPr>
          <w:rFonts w:hint="eastAsia"/>
        </w:rPr>
      </w:pPr>
      <w:r>
        <w:t>Churn prediction: train and validate a classification model only after defin</w:t>
      </w:r>
      <w:r>
        <w:t>ing churn and preventing target leakage.</w:t>
      </w:r>
    </w:p>
    <w:p w14:paraId="468CE3B1" w14:textId="77777777" w:rsidR="001E77C4" w:rsidRDefault="00857D97">
      <w:pPr>
        <w:pStyle w:val="ListBullet"/>
        <w:spacing w:after="40"/>
        <w:rPr>
          <w:rFonts w:hint="eastAsia"/>
        </w:rPr>
      </w:pPr>
      <w:r>
        <w:t>Product recommendation: test complementary or similar-product recommendations and evaluate incremental basket value.</w:t>
      </w:r>
    </w:p>
    <w:p w14:paraId="2607DF62" w14:textId="77777777" w:rsidR="001E77C4" w:rsidRDefault="00857D97">
      <w:pPr>
        <w:pStyle w:val="ListBullet"/>
        <w:spacing w:after="40"/>
        <w:rPr>
          <w:rFonts w:hint="eastAsia"/>
        </w:rPr>
      </w:pPr>
      <w:r>
        <w:t xml:space="preserve">Inventory </w:t>
      </w:r>
      <w:proofErr w:type="spellStart"/>
      <w:r>
        <w:t>optimisation</w:t>
      </w:r>
      <w:proofErr w:type="spellEnd"/>
      <w:r>
        <w:t>: combine demand forecasts, supplier lead times, service levels, and stockou</w:t>
      </w:r>
      <w:r>
        <w:t>t costs.</w:t>
      </w:r>
    </w:p>
    <w:p w14:paraId="17118387" w14:textId="77777777" w:rsidR="001E77C4" w:rsidRDefault="00857D97">
      <w:pPr>
        <w:pStyle w:val="ListBullet"/>
        <w:spacing w:after="40"/>
        <w:rPr>
          <w:rFonts w:hint="eastAsia"/>
        </w:rPr>
      </w:pPr>
      <w:r>
        <w:t xml:space="preserve">Experimentation platform: </w:t>
      </w:r>
      <w:proofErr w:type="spellStart"/>
      <w:r>
        <w:t>standardise</w:t>
      </w:r>
      <w:proofErr w:type="spellEnd"/>
      <w:r>
        <w:t xml:space="preserve"> A/B-test design, sample-size planning, guardrails, and post-test reporting.</w:t>
      </w:r>
    </w:p>
    <w:p w14:paraId="15EF8C1E" w14:textId="77777777" w:rsidR="001E77C4" w:rsidRDefault="00857D97">
      <w:pPr>
        <w:pStyle w:val="ListBullet"/>
        <w:spacing w:after="40"/>
        <w:rPr>
          <w:rFonts w:hint="eastAsia"/>
        </w:rPr>
      </w:pPr>
      <w:r>
        <w:t>Marketing incrementality: use holdout groups or geo experiments to estimate whether spend creates additional demand.</w:t>
      </w:r>
    </w:p>
    <w:p w14:paraId="21DF059C" w14:textId="77777777" w:rsidR="001E77C4" w:rsidRDefault="00857D97">
      <w:pPr>
        <w:pStyle w:val="ListBullet"/>
        <w:spacing w:after="40"/>
        <w:rPr>
          <w:rFonts w:hint="eastAsia"/>
        </w:rPr>
      </w:pPr>
      <w:r>
        <w:t>Real-time monito</w:t>
      </w:r>
      <w:r>
        <w:t>ring: track data freshness, checkout errors, conversion anomalies, and forecast drift.</w:t>
      </w:r>
    </w:p>
    <w:p w14:paraId="03E6F9AF" w14:textId="77777777" w:rsidR="001E77C4" w:rsidRDefault="00857D97">
      <w:pPr>
        <w:pStyle w:val="ListBullet"/>
        <w:spacing w:after="40"/>
        <w:rPr>
          <w:rFonts w:hint="eastAsia"/>
        </w:rPr>
      </w:pPr>
      <w:r>
        <w:t xml:space="preserve">Responsible analytics: </w:t>
      </w:r>
      <w:proofErr w:type="spellStart"/>
      <w:r>
        <w:t>minimise</w:t>
      </w:r>
      <w:proofErr w:type="spellEnd"/>
      <w:r>
        <w:t xml:space="preserve"> personal data, document model limitations, and audit outcomes across customer groups.</w:t>
      </w:r>
    </w:p>
    <w:p w14:paraId="4F05510A" w14:textId="77777777" w:rsidR="001E77C4" w:rsidRDefault="00857D97">
      <w:pPr>
        <w:pStyle w:val="Heading1"/>
      </w:pPr>
      <w:r>
        <w:t>13. Conclusion</w:t>
      </w:r>
    </w:p>
    <w:p w14:paraId="1A02DBC1" w14:textId="77777777" w:rsidR="001E77C4" w:rsidRDefault="00857D97">
      <w:pPr>
        <w:spacing w:after="100"/>
        <w:rPr>
          <w:rFonts w:hint="eastAsia"/>
        </w:rPr>
      </w:pPr>
      <w:r>
        <w:t xml:space="preserve">This integrated project </w:t>
      </w:r>
      <w:r>
        <w:t xml:space="preserve">demonstrates how retail e-commerce data can support decisions across customer retention, sales planning, website performance, and pricing. Its central lesson is that the analysis must be connected: customer value should be considered alongside acquisition </w:t>
      </w:r>
      <w:r>
        <w:t>cost, conversion should be considered alongside margin, and forecasts should be evaluated against transparent baselines.</w:t>
      </w:r>
    </w:p>
    <w:p w14:paraId="7AB53CE6" w14:textId="77777777" w:rsidR="001E77C4" w:rsidRDefault="00857D97">
      <w:pPr>
        <w:spacing w:after="100"/>
        <w:rPr>
          <w:rFonts w:hint="eastAsia"/>
        </w:rPr>
      </w:pPr>
      <w:r>
        <w:t>The final report should be submitted only after the illustrative figures are replaced with reproducible results from the actual project</w:t>
      </w:r>
      <w:r>
        <w:t xml:space="preserve"> data. With validated metrics, clear visual explanations, explicit limitations, and a practical implementation roadmap, the analysis can move beyond a collection of charts and become a coherent business recommendation.</w:t>
      </w:r>
    </w:p>
    <w:p w14:paraId="15EE2FD4" w14:textId="77777777" w:rsidR="001E77C4" w:rsidRDefault="00857D97">
      <w:pPr>
        <w:rPr>
          <w:rFonts w:hint="eastAsia"/>
        </w:rPr>
      </w:pPr>
      <w:r>
        <w:br w:type="page"/>
      </w:r>
    </w:p>
    <w:p w14:paraId="6DAD9D9F" w14:textId="77777777" w:rsidR="001E77C4" w:rsidRDefault="00857D97">
      <w:pPr>
        <w:pStyle w:val="Heading1"/>
        <w:spacing w:before="0"/>
      </w:pPr>
      <w:r>
        <w:lastRenderedPageBreak/>
        <w:t>Appendix A: KPI Definitions</w:t>
      </w:r>
    </w:p>
    <w:tbl>
      <w:tblPr>
        <w:tblW w:w="9936" w:type="dxa"/>
        <w:tblInd w:w="-108" w:type="dxa"/>
        <w:tblLayout w:type="fixed"/>
        <w:tblLook w:val="0000" w:firstRow="0" w:lastRow="0" w:firstColumn="0" w:lastColumn="0" w:noHBand="0" w:noVBand="0"/>
      </w:tblPr>
      <w:tblGrid>
        <w:gridCol w:w="4968"/>
        <w:gridCol w:w="4968"/>
      </w:tblGrid>
      <w:tr w:rsidR="001E77C4" w14:paraId="0E893622" w14:textId="77777777">
        <w:tc>
          <w:tcPr>
            <w:tcW w:w="4968" w:type="dxa"/>
            <w:tcBorders>
              <w:top w:val="single" w:sz="8" w:space="0" w:color="4F81BD"/>
              <w:bottom w:val="single" w:sz="8" w:space="0" w:color="4F81BD"/>
            </w:tcBorders>
            <w:shd w:val="clear" w:color="auto" w:fill="164B73"/>
          </w:tcPr>
          <w:p w14:paraId="3884D326" w14:textId="77777777" w:rsidR="001E77C4" w:rsidRDefault="00857D97">
            <w:pPr>
              <w:spacing w:after="0" w:line="240" w:lineRule="auto"/>
              <w:rPr>
                <w:rFonts w:hint="eastAsia"/>
                <w:b/>
                <w:bCs/>
                <w:color w:val="FFFFFF"/>
                <w:sz w:val="18"/>
              </w:rPr>
            </w:pPr>
            <w:r>
              <w:rPr>
                <w:b/>
                <w:bCs/>
                <w:color w:val="FFFFFF"/>
                <w:sz w:val="18"/>
              </w:rPr>
              <w:t>Term</w:t>
            </w:r>
          </w:p>
        </w:tc>
        <w:tc>
          <w:tcPr>
            <w:tcW w:w="4968" w:type="dxa"/>
            <w:tcBorders>
              <w:top w:val="single" w:sz="8" w:space="0" w:color="4F81BD"/>
              <w:bottom w:val="single" w:sz="8" w:space="0" w:color="4F81BD"/>
            </w:tcBorders>
            <w:shd w:val="clear" w:color="auto" w:fill="164B73"/>
          </w:tcPr>
          <w:p w14:paraId="5AA53258" w14:textId="77777777" w:rsidR="001E77C4" w:rsidRDefault="00857D97">
            <w:pPr>
              <w:spacing w:after="0" w:line="240" w:lineRule="auto"/>
              <w:rPr>
                <w:rFonts w:hint="eastAsia"/>
                <w:b/>
                <w:bCs/>
                <w:color w:val="FFFFFF"/>
                <w:sz w:val="18"/>
              </w:rPr>
            </w:pPr>
            <w:r>
              <w:rPr>
                <w:b/>
                <w:bCs/>
                <w:color w:val="FFFFFF"/>
                <w:sz w:val="18"/>
              </w:rPr>
              <w:t>De</w:t>
            </w:r>
            <w:r>
              <w:rPr>
                <w:b/>
                <w:bCs/>
                <w:color w:val="FFFFFF"/>
                <w:sz w:val="18"/>
              </w:rPr>
              <w:t>finition / note</w:t>
            </w:r>
          </w:p>
        </w:tc>
      </w:tr>
      <w:tr w:rsidR="001E77C4" w14:paraId="1D2FACEE" w14:textId="77777777">
        <w:tc>
          <w:tcPr>
            <w:tcW w:w="4968" w:type="dxa"/>
            <w:shd w:val="clear" w:color="auto" w:fill="D3DFEE"/>
          </w:tcPr>
          <w:p w14:paraId="40EE79DD"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RFM</w:t>
            </w:r>
          </w:p>
        </w:tc>
        <w:tc>
          <w:tcPr>
            <w:tcW w:w="4968" w:type="dxa"/>
            <w:shd w:val="clear" w:color="auto" w:fill="D3DFEE"/>
          </w:tcPr>
          <w:p w14:paraId="17C5E004"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Recency, Frequency, Monetary value; customer-level </w:t>
            </w:r>
            <w:proofErr w:type="spellStart"/>
            <w:r>
              <w:rPr>
                <w:color w:val="365F91" w:themeColor="accent1" w:themeShade="BF"/>
                <w:sz w:val="18"/>
              </w:rPr>
              <w:t>behavioural</w:t>
            </w:r>
            <w:proofErr w:type="spellEnd"/>
            <w:r>
              <w:rPr>
                <w:color w:val="365F91" w:themeColor="accent1" w:themeShade="BF"/>
                <w:sz w:val="18"/>
              </w:rPr>
              <w:t xml:space="preserve"> segmentation.</w:t>
            </w:r>
          </w:p>
        </w:tc>
      </w:tr>
      <w:tr w:rsidR="001E77C4" w14:paraId="575F8C3F" w14:textId="77777777">
        <w:tc>
          <w:tcPr>
            <w:tcW w:w="4968" w:type="dxa"/>
            <w:shd w:val="clear" w:color="auto" w:fill="EEF4F8"/>
          </w:tcPr>
          <w:p w14:paraId="4909F82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AOV</w:t>
            </w:r>
          </w:p>
        </w:tc>
        <w:tc>
          <w:tcPr>
            <w:tcW w:w="4968" w:type="dxa"/>
            <w:shd w:val="clear" w:color="auto" w:fill="EEF4F8"/>
          </w:tcPr>
          <w:p w14:paraId="1E8109BE" w14:textId="77777777" w:rsidR="001E77C4" w:rsidRDefault="00857D97">
            <w:pPr>
              <w:spacing w:after="0" w:line="240" w:lineRule="auto"/>
              <w:rPr>
                <w:rFonts w:hint="eastAsia"/>
                <w:color w:val="365F91" w:themeColor="accent1" w:themeShade="BF"/>
                <w:sz w:val="18"/>
              </w:rPr>
            </w:pPr>
            <w:r>
              <w:rPr>
                <w:color w:val="365F91" w:themeColor="accent1" w:themeShade="BF"/>
                <w:sz w:val="18"/>
              </w:rPr>
              <w:t>Net revenue divided by completed orders, with revenue policy documented.</w:t>
            </w:r>
          </w:p>
        </w:tc>
      </w:tr>
      <w:tr w:rsidR="001E77C4" w14:paraId="41A24B7D" w14:textId="77777777">
        <w:tc>
          <w:tcPr>
            <w:tcW w:w="4968" w:type="dxa"/>
            <w:shd w:val="clear" w:color="auto" w:fill="D3DFEE"/>
          </w:tcPr>
          <w:p w14:paraId="07943F02"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Conversion rate</w:t>
            </w:r>
          </w:p>
        </w:tc>
        <w:tc>
          <w:tcPr>
            <w:tcW w:w="4968" w:type="dxa"/>
            <w:shd w:val="clear" w:color="auto" w:fill="D3DFEE"/>
          </w:tcPr>
          <w:p w14:paraId="5D41D557"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Completed orders divided by eligible sessions, </w:t>
            </w:r>
            <w:r>
              <w:rPr>
                <w:color w:val="365F91" w:themeColor="accent1" w:themeShade="BF"/>
                <w:sz w:val="18"/>
              </w:rPr>
              <w:t>multiplied by 100.</w:t>
            </w:r>
          </w:p>
        </w:tc>
      </w:tr>
      <w:tr w:rsidR="001E77C4" w14:paraId="5BCD14E3" w14:textId="77777777">
        <w:tc>
          <w:tcPr>
            <w:tcW w:w="4968" w:type="dxa"/>
            <w:shd w:val="clear" w:color="auto" w:fill="EEF4F8"/>
          </w:tcPr>
          <w:p w14:paraId="0A36CEE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MAE</w:t>
            </w:r>
          </w:p>
        </w:tc>
        <w:tc>
          <w:tcPr>
            <w:tcW w:w="4968" w:type="dxa"/>
            <w:shd w:val="clear" w:color="auto" w:fill="EEF4F8"/>
          </w:tcPr>
          <w:p w14:paraId="73AD561A" w14:textId="77777777" w:rsidR="001E77C4" w:rsidRDefault="00857D97">
            <w:pPr>
              <w:spacing w:after="0" w:line="240" w:lineRule="auto"/>
              <w:rPr>
                <w:rFonts w:hint="eastAsia"/>
                <w:color w:val="365F91" w:themeColor="accent1" w:themeShade="BF"/>
                <w:sz w:val="18"/>
              </w:rPr>
            </w:pPr>
            <w:r>
              <w:rPr>
                <w:color w:val="365F91" w:themeColor="accent1" w:themeShade="BF"/>
                <w:sz w:val="18"/>
              </w:rPr>
              <w:t>Mean absolute error; average absolute difference between actual and forecast values.</w:t>
            </w:r>
          </w:p>
        </w:tc>
      </w:tr>
      <w:tr w:rsidR="001E77C4" w14:paraId="61ADB9AD" w14:textId="77777777">
        <w:tc>
          <w:tcPr>
            <w:tcW w:w="4968" w:type="dxa"/>
            <w:shd w:val="clear" w:color="auto" w:fill="D3DFEE"/>
          </w:tcPr>
          <w:p w14:paraId="65A7229A"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RMSE</w:t>
            </w:r>
          </w:p>
        </w:tc>
        <w:tc>
          <w:tcPr>
            <w:tcW w:w="4968" w:type="dxa"/>
            <w:shd w:val="clear" w:color="auto" w:fill="D3DFEE"/>
          </w:tcPr>
          <w:p w14:paraId="57E75B7D"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Root mean squared error; </w:t>
            </w:r>
            <w:proofErr w:type="spellStart"/>
            <w:r>
              <w:rPr>
                <w:color w:val="365F91" w:themeColor="accent1" w:themeShade="BF"/>
                <w:sz w:val="18"/>
              </w:rPr>
              <w:t>penalises</w:t>
            </w:r>
            <w:proofErr w:type="spellEnd"/>
            <w:r>
              <w:rPr>
                <w:color w:val="365F91" w:themeColor="accent1" w:themeShade="BF"/>
                <w:sz w:val="18"/>
              </w:rPr>
              <w:t xml:space="preserve"> larger forecast errors more heavily.</w:t>
            </w:r>
          </w:p>
        </w:tc>
      </w:tr>
      <w:tr w:rsidR="001E77C4" w14:paraId="76E50AD7" w14:textId="77777777">
        <w:tc>
          <w:tcPr>
            <w:tcW w:w="4968" w:type="dxa"/>
            <w:shd w:val="clear" w:color="auto" w:fill="EEF4F8"/>
          </w:tcPr>
          <w:p w14:paraId="60B917EF"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CAC</w:t>
            </w:r>
          </w:p>
        </w:tc>
        <w:tc>
          <w:tcPr>
            <w:tcW w:w="4968" w:type="dxa"/>
            <w:shd w:val="clear" w:color="auto" w:fill="EEF4F8"/>
          </w:tcPr>
          <w:p w14:paraId="37D80FDB"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Acquisition </w:t>
            </w:r>
            <w:proofErr w:type="gramStart"/>
            <w:r>
              <w:rPr>
                <w:color w:val="365F91" w:themeColor="accent1" w:themeShade="BF"/>
                <w:sz w:val="18"/>
              </w:rPr>
              <w:t>spend</w:t>
            </w:r>
            <w:proofErr w:type="gramEnd"/>
            <w:r>
              <w:rPr>
                <w:color w:val="365F91" w:themeColor="accent1" w:themeShade="BF"/>
                <w:sz w:val="18"/>
              </w:rPr>
              <w:t xml:space="preserve"> divided by new customers attributed to </w:t>
            </w:r>
            <w:r>
              <w:rPr>
                <w:color w:val="365F91" w:themeColor="accent1" w:themeShade="BF"/>
                <w:sz w:val="18"/>
              </w:rPr>
              <w:t>that spend.</w:t>
            </w:r>
          </w:p>
        </w:tc>
      </w:tr>
      <w:tr w:rsidR="001E77C4" w14:paraId="21AD9E8B" w14:textId="77777777">
        <w:tc>
          <w:tcPr>
            <w:tcW w:w="4968" w:type="dxa"/>
            <w:shd w:val="clear" w:color="auto" w:fill="D3DFEE"/>
          </w:tcPr>
          <w:p w14:paraId="4BDDC27B"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ROAS</w:t>
            </w:r>
          </w:p>
        </w:tc>
        <w:tc>
          <w:tcPr>
            <w:tcW w:w="4968" w:type="dxa"/>
            <w:shd w:val="clear" w:color="auto" w:fill="D3DFEE"/>
          </w:tcPr>
          <w:p w14:paraId="157AC393" w14:textId="77777777" w:rsidR="001E77C4" w:rsidRDefault="00857D97">
            <w:pPr>
              <w:spacing w:after="0" w:line="240" w:lineRule="auto"/>
              <w:rPr>
                <w:rFonts w:hint="eastAsia"/>
                <w:color w:val="365F91" w:themeColor="accent1" w:themeShade="BF"/>
                <w:sz w:val="18"/>
              </w:rPr>
            </w:pPr>
            <w:r>
              <w:rPr>
                <w:color w:val="365F91" w:themeColor="accent1" w:themeShade="BF"/>
                <w:sz w:val="18"/>
              </w:rPr>
              <w:t>Attributed revenue divided by advertising spend; attribution limitations apply.</w:t>
            </w:r>
          </w:p>
        </w:tc>
      </w:tr>
      <w:tr w:rsidR="001E77C4" w14:paraId="0E5CCF44" w14:textId="77777777">
        <w:tc>
          <w:tcPr>
            <w:tcW w:w="4968" w:type="dxa"/>
            <w:shd w:val="clear" w:color="auto" w:fill="EEF4F8"/>
          </w:tcPr>
          <w:p w14:paraId="1CA8008E"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Contribution margin</w:t>
            </w:r>
          </w:p>
        </w:tc>
        <w:tc>
          <w:tcPr>
            <w:tcW w:w="4968" w:type="dxa"/>
            <w:shd w:val="clear" w:color="auto" w:fill="EEF4F8"/>
          </w:tcPr>
          <w:p w14:paraId="742A1B0E" w14:textId="77777777" w:rsidR="001E77C4" w:rsidRDefault="00857D97">
            <w:pPr>
              <w:spacing w:after="0" w:line="240" w:lineRule="auto"/>
              <w:rPr>
                <w:rFonts w:hint="eastAsia"/>
                <w:color w:val="365F91" w:themeColor="accent1" w:themeShade="BF"/>
                <w:sz w:val="18"/>
              </w:rPr>
            </w:pPr>
            <w:r>
              <w:rPr>
                <w:color w:val="365F91" w:themeColor="accent1" w:themeShade="BF"/>
                <w:sz w:val="18"/>
              </w:rPr>
              <w:t>Revenue after variable costs relevant to the decision, defined consistently.</w:t>
            </w:r>
          </w:p>
        </w:tc>
      </w:tr>
      <w:tr w:rsidR="001E77C4" w14:paraId="412B5B36" w14:textId="77777777">
        <w:tc>
          <w:tcPr>
            <w:tcW w:w="4968" w:type="dxa"/>
            <w:tcBorders>
              <w:bottom w:val="single" w:sz="8" w:space="0" w:color="4F81BD"/>
            </w:tcBorders>
            <w:shd w:val="clear" w:color="auto" w:fill="D3DFEE"/>
          </w:tcPr>
          <w:p w14:paraId="19881BD4" w14:textId="77777777" w:rsidR="001E77C4" w:rsidRDefault="00857D97">
            <w:pPr>
              <w:spacing w:after="0" w:line="240" w:lineRule="auto"/>
              <w:rPr>
                <w:rFonts w:hint="eastAsia"/>
                <w:bCs/>
                <w:color w:val="365F91" w:themeColor="accent1" w:themeShade="BF"/>
                <w:sz w:val="18"/>
              </w:rPr>
            </w:pPr>
            <w:r>
              <w:rPr>
                <w:bCs/>
                <w:color w:val="365F91" w:themeColor="accent1" w:themeShade="BF"/>
                <w:sz w:val="18"/>
              </w:rPr>
              <w:t>RFM snapshot date</w:t>
            </w:r>
          </w:p>
        </w:tc>
        <w:tc>
          <w:tcPr>
            <w:tcW w:w="4968" w:type="dxa"/>
            <w:tcBorders>
              <w:bottom w:val="single" w:sz="8" w:space="0" w:color="4F81BD"/>
            </w:tcBorders>
            <w:shd w:val="clear" w:color="auto" w:fill="D3DFEE"/>
          </w:tcPr>
          <w:p w14:paraId="15A0495E" w14:textId="77777777" w:rsidR="001E77C4" w:rsidRDefault="00857D97">
            <w:pPr>
              <w:spacing w:after="0" w:line="240" w:lineRule="auto"/>
              <w:rPr>
                <w:rFonts w:hint="eastAsia"/>
                <w:color w:val="365F91" w:themeColor="accent1" w:themeShade="BF"/>
                <w:sz w:val="18"/>
              </w:rPr>
            </w:pPr>
            <w:r>
              <w:rPr>
                <w:color w:val="365F91" w:themeColor="accent1" w:themeShade="BF"/>
                <w:sz w:val="18"/>
              </w:rPr>
              <w:t xml:space="preserve">Reference date used to calculate </w:t>
            </w:r>
            <w:r>
              <w:rPr>
                <w:color w:val="365F91" w:themeColor="accent1" w:themeShade="BF"/>
                <w:sz w:val="18"/>
              </w:rPr>
              <w:t>recency for all customers.</w:t>
            </w:r>
          </w:p>
        </w:tc>
      </w:tr>
    </w:tbl>
    <w:p w14:paraId="37570C12" w14:textId="77777777" w:rsidR="001E77C4" w:rsidRDefault="001E77C4">
      <w:pPr>
        <w:rPr>
          <w:rFonts w:hint="eastAsia"/>
        </w:rPr>
      </w:pPr>
    </w:p>
    <w:p w14:paraId="2176E622" w14:textId="77777777" w:rsidR="001E77C4" w:rsidRDefault="00857D97">
      <w:pPr>
        <w:pStyle w:val="Heading1"/>
      </w:pPr>
      <w:r>
        <w:t>Appendix B: Reproducibility and Validation Checklist</w:t>
      </w:r>
    </w:p>
    <w:p w14:paraId="696766CA" w14:textId="77777777" w:rsidR="001E77C4" w:rsidRDefault="00857D97">
      <w:pPr>
        <w:pStyle w:val="ListBullet"/>
        <w:spacing w:after="40"/>
        <w:rPr>
          <w:rFonts w:hint="eastAsia"/>
        </w:rPr>
      </w:pPr>
      <w:r>
        <w:t>☐</w:t>
      </w:r>
      <w:r>
        <w:t xml:space="preserve"> Raw files preserved and data sources documented.</w:t>
      </w:r>
    </w:p>
    <w:p w14:paraId="3EDF3551" w14:textId="77777777" w:rsidR="001E77C4" w:rsidRDefault="00857D97">
      <w:pPr>
        <w:pStyle w:val="ListBullet"/>
        <w:spacing w:after="40"/>
        <w:rPr>
          <w:rFonts w:hint="eastAsia"/>
        </w:rPr>
      </w:pPr>
      <w:r>
        <w:t>☐</w:t>
      </w:r>
      <w:r>
        <w:t xml:space="preserve"> Analysis period and business </w:t>
      </w:r>
      <w:proofErr w:type="spellStart"/>
      <w:r>
        <w:t>timezone</w:t>
      </w:r>
      <w:proofErr w:type="spellEnd"/>
      <w:r>
        <w:t xml:space="preserve"> stated.</w:t>
      </w:r>
    </w:p>
    <w:p w14:paraId="140D276A" w14:textId="77777777" w:rsidR="001E77C4" w:rsidRDefault="00857D97">
      <w:pPr>
        <w:pStyle w:val="ListBullet"/>
        <w:spacing w:after="40"/>
        <w:rPr>
          <w:rFonts w:hint="eastAsia"/>
        </w:rPr>
      </w:pPr>
      <w:r>
        <w:t>☐</w:t>
      </w:r>
      <w:r>
        <w:t xml:space="preserve"> Order status and refund treatment documented.</w:t>
      </w:r>
    </w:p>
    <w:p w14:paraId="57ADCFD1" w14:textId="77777777" w:rsidR="001E77C4" w:rsidRDefault="00857D97">
      <w:pPr>
        <w:pStyle w:val="ListBullet"/>
        <w:spacing w:after="40"/>
        <w:rPr>
          <w:rFonts w:hint="eastAsia"/>
        </w:rPr>
      </w:pPr>
      <w:r>
        <w:t>☐</w:t>
      </w:r>
      <w:r>
        <w:t xml:space="preserve"> Duplicate and </w:t>
      </w:r>
      <w:r>
        <w:t>missing-value checks completed and reported.</w:t>
      </w:r>
    </w:p>
    <w:p w14:paraId="420A7B9D" w14:textId="77777777" w:rsidR="001E77C4" w:rsidRDefault="00857D97">
      <w:pPr>
        <w:pStyle w:val="ListBullet"/>
        <w:spacing w:after="40"/>
        <w:rPr>
          <w:rFonts w:hint="eastAsia"/>
        </w:rPr>
      </w:pPr>
      <w:r>
        <w:t>☐</w:t>
      </w:r>
      <w:r>
        <w:t xml:space="preserve"> Join keys and expected table grain verified.</w:t>
      </w:r>
    </w:p>
    <w:p w14:paraId="27350516" w14:textId="77777777" w:rsidR="001E77C4" w:rsidRDefault="00857D97">
      <w:pPr>
        <w:pStyle w:val="ListBullet"/>
        <w:spacing w:after="40"/>
        <w:rPr>
          <w:rFonts w:hint="eastAsia"/>
        </w:rPr>
      </w:pPr>
      <w:r>
        <w:t>☐</w:t>
      </w:r>
      <w:r>
        <w:t xml:space="preserve"> Distinct order counts reconcile before and after transformation.</w:t>
      </w:r>
    </w:p>
    <w:p w14:paraId="3810E8AC" w14:textId="77777777" w:rsidR="001E77C4" w:rsidRDefault="00857D97">
      <w:pPr>
        <w:pStyle w:val="ListBullet"/>
        <w:spacing w:after="40"/>
        <w:rPr>
          <w:rFonts w:hint="eastAsia"/>
        </w:rPr>
      </w:pPr>
      <w:r>
        <w:t>☐</w:t>
      </w:r>
      <w:r>
        <w:t xml:space="preserve"> Revenue reconciles to source totals within documented tolerance.</w:t>
      </w:r>
    </w:p>
    <w:p w14:paraId="7BBAD37D" w14:textId="77777777" w:rsidR="001E77C4" w:rsidRDefault="00857D97">
      <w:pPr>
        <w:pStyle w:val="ListBullet"/>
        <w:spacing w:after="40"/>
        <w:rPr>
          <w:rFonts w:hint="eastAsia"/>
        </w:rPr>
      </w:pPr>
      <w:r>
        <w:t>☐</w:t>
      </w:r>
      <w:r>
        <w:t xml:space="preserve"> RFM snapshot date, threshold</w:t>
      </w:r>
      <w:r>
        <w:t>s, and segment rules documented.</w:t>
      </w:r>
    </w:p>
    <w:p w14:paraId="49506DC7" w14:textId="77777777" w:rsidR="001E77C4" w:rsidRDefault="00857D97">
      <w:pPr>
        <w:pStyle w:val="ListBullet"/>
        <w:spacing w:after="40"/>
        <w:rPr>
          <w:rFonts w:hint="eastAsia"/>
        </w:rPr>
      </w:pPr>
      <w:r>
        <w:t>☐</w:t>
      </w:r>
      <w:r>
        <w:t xml:space="preserve"> Forecast uses chronological train/test separation and a baseline comparison.</w:t>
      </w:r>
    </w:p>
    <w:p w14:paraId="2D903F70" w14:textId="77777777" w:rsidR="001E77C4" w:rsidRDefault="00857D97">
      <w:pPr>
        <w:pStyle w:val="ListBullet"/>
        <w:spacing w:after="40"/>
        <w:rPr>
          <w:rFonts w:hint="eastAsia"/>
        </w:rPr>
      </w:pPr>
      <w:r>
        <w:t>☐</w:t>
      </w:r>
      <w:r>
        <w:t xml:space="preserve"> Channel conversion denominator and attribution window documented.</w:t>
      </w:r>
    </w:p>
    <w:p w14:paraId="11DE84DB" w14:textId="77777777" w:rsidR="001E77C4" w:rsidRDefault="00857D97">
      <w:pPr>
        <w:pStyle w:val="ListBullet"/>
        <w:spacing w:after="40"/>
        <w:rPr>
          <w:rFonts w:hint="eastAsia"/>
        </w:rPr>
      </w:pPr>
      <w:r>
        <w:t>☐</w:t>
      </w:r>
      <w:r>
        <w:t xml:space="preserve"> Pricing analysis includes margin and product-mix caveats.</w:t>
      </w:r>
    </w:p>
    <w:p w14:paraId="209B7EE2" w14:textId="77777777" w:rsidR="001E77C4" w:rsidRDefault="00857D97">
      <w:pPr>
        <w:pStyle w:val="ListBullet"/>
        <w:spacing w:after="40"/>
        <w:rPr>
          <w:rFonts w:hint="eastAsia"/>
        </w:rPr>
      </w:pPr>
      <w:r>
        <w:t>☐</w:t>
      </w:r>
      <w:r>
        <w:t xml:space="preserve"> Every chart ha</w:t>
      </w:r>
      <w:r>
        <w:t>s a title, axis labels, and a plain-language interpretation.</w:t>
      </w:r>
    </w:p>
    <w:p w14:paraId="085F55DC" w14:textId="77777777" w:rsidR="001E77C4" w:rsidRDefault="00857D97">
      <w:pPr>
        <w:pStyle w:val="ListBullet"/>
        <w:spacing w:after="40"/>
        <w:rPr>
          <w:rFonts w:hint="eastAsia"/>
        </w:rPr>
      </w:pPr>
      <w:r>
        <w:t>☐</w:t>
      </w:r>
      <w:r>
        <w:t xml:space="preserve"> All illustrative values replaced by actual computed values before submission.</w:t>
      </w:r>
    </w:p>
    <w:p w14:paraId="4C6D7D69" w14:textId="77777777" w:rsidR="001E77C4" w:rsidRDefault="00857D97">
      <w:pPr>
        <w:pStyle w:val="ListBullet"/>
        <w:spacing w:after="40"/>
        <w:rPr>
          <w:rFonts w:hint="eastAsia"/>
        </w:rPr>
      </w:pPr>
      <w:r>
        <w:t>☐</w:t>
      </w:r>
      <w:r>
        <w:t xml:space="preserve"> Recommendations have owners, success metrics, and review dates.</w:t>
      </w:r>
    </w:p>
    <w:p w14:paraId="1F711098" w14:textId="77777777" w:rsidR="001E77C4" w:rsidRDefault="00857D97">
      <w:pPr>
        <w:pStyle w:val="Heading1"/>
      </w:pPr>
      <w:r>
        <w:t>Appendix C: Suggested project folder structure</w:t>
      </w:r>
    </w:p>
    <w:p w14:paraId="4F965CD4" w14:textId="77777777" w:rsidR="001E77C4" w:rsidRDefault="00857D97">
      <w:pPr>
        <w:spacing w:after="100"/>
        <w:rPr>
          <w:rFonts w:hint="eastAsia"/>
        </w:rPr>
      </w:pPr>
      <w:r>
        <w:t>We</w:t>
      </w:r>
      <w:r>
        <w:t>ek6_Retail_Ecommerce_Analysis/</w:t>
      </w:r>
      <w:r>
        <w:br/>
        <w:t>├── data/</w:t>
      </w:r>
      <w:r>
        <w:br/>
        <w:t>│   ├── raw/                 # Original source files; do not overwrite</w:t>
      </w:r>
      <w:r>
        <w:br/>
        <w:t>│   └── processed/           # Cleaned analytical tables</w:t>
      </w:r>
      <w:r>
        <w:br/>
        <w:t>├── notebooks/</w:t>
      </w:r>
      <w:r>
        <w:br/>
        <w:t xml:space="preserve">│   └── </w:t>
      </w:r>
      <w:proofErr w:type="spellStart"/>
      <w:r>
        <w:t>retail_ecommerce_</w:t>
      </w:r>
      <w:proofErr w:type="gramStart"/>
      <w:r>
        <w:t>analysis.ipynb</w:t>
      </w:r>
      <w:proofErr w:type="spellEnd"/>
      <w:proofErr w:type="gramEnd"/>
      <w:r>
        <w:br/>
        <w:t>├── outputs/</w:t>
      </w:r>
      <w:r>
        <w:br/>
        <w:t>│   ├── charts/</w:t>
      </w:r>
      <w:r>
        <w:br/>
        <w:t xml:space="preserve">│  </w:t>
      </w:r>
      <w:r>
        <w:t xml:space="preserve"> └── </w:t>
      </w:r>
      <w:proofErr w:type="spellStart"/>
      <w:r>
        <w:t>validation_tables</w:t>
      </w:r>
      <w:proofErr w:type="spellEnd"/>
      <w:r>
        <w:t>/</w:t>
      </w:r>
      <w:r>
        <w:br/>
        <w:t>├── report/</w:t>
      </w:r>
      <w:r>
        <w:br/>
      </w:r>
      <w:r>
        <w:lastRenderedPageBreak/>
        <w:t>│   └── Week6_Retail_Ecommerce_Analysis_Report.docx</w:t>
      </w:r>
      <w:r>
        <w:br/>
        <w:t>└── README.md</w:t>
      </w:r>
    </w:p>
    <w:p w14:paraId="5674010A" w14:textId="77777777" w:rsidR="001E77C4" w:rsidRDefault="00857D97">
      <w:pPr>
        <w:spacing w:after="100"/>
        <w:rPr>
          <w:rFonts w:hint="eastAsia"/>
        </w:rPr>
      </w:pPr>
      <w:r>
        <w:t>Recommended README sections: project objective, data dictionary, setup instructions, analysis workflow, KPI definitions, key findings, limitations, and ho</w:t>
      </w:r>
      <w:r>
        <w:t>w to reproduce charts.</w:t>
      </w:r>
    </w:p>
    <w:sectPr w:rsidR="001E77C4">
      <w:headerReference w:type="default" r:id="rId12"/>
      <w:footerReference w:type="default" r:id="rId13"/>
      <w:pgSz w:w="12240" w:h="15840"/>
      <w:pgMar w:top="1008" w:right="1152" w:bottom="1008" w:left="1152"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E25F6" w14:textId="77777777" w:rsidR="00857D97" w:rsidRDefault="00857D97">
      <w:pPr>
        <w:spacing w:after="0" w:line="240" w:lineRule="auto"/>
        <w:rPr>
          <w:rFonts w:hint="eastAsia"/>
        </w:rPr>
      </w:pPr>
      <w:r>
        <w:separator/>
      </w:r>
    </w:p>
  </w:endnote>
  <w:endnote w:type="continuationSeparator" w:id="0">
    <w:p w14:paraId="4C8B7B7F" w14:textId="77777777" w:rsidR="00857D97" w:rsidRDefault="00857D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Aptos">
    <w:altName w:val="Cambria"/>
    <w:charset w:val="00"/>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DD741" w14:textId="77777777" w:rsidR="001E77C4" w:rsidRDefault="00857D97">
    <w:pPr>
      <w:pStyle w:val="Footer"/>
      <w:jc w:val="center"/>
      <w:rPr>
        <w:rFonts w:hint="eastAsia"/>
        <w:sz w:val="16"/>
      </w:rPr>
    </w:pPr>
    <w:r>
      <w:rPr>
        <w:sz w:val="16"/>
      </w:rPr>
      <w:t xml:space="preserve">Comprehensive Analytical </w:t>
    </w:r>
    <w:proofErr w:type="gramStart"/>
    <w:r>
      <w:rPr>
        <w:sz w:val="16"/>
      </w:rPr>
      <w:t>Report  •</w:t>
    </w:r>
    <w:proofErr w:type="gramEnd"/>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C129A" w14:textId="77777777" w:rsidR="00857D97" w:rsidRDefault="00857D97">
      <w:pPr>
        <w:spacing w:after="0" w:line="240" w:lineRule="auto"/>
        <w:rPr>
          <w:rFonts w:hint="eastAsia"/>
        </w:rPr>
      </w:pPr>
      <w:r>
        <w:separator/>
      </w:r>
    </w:p>
  </w:footnote>
  <w:footnote w:type="continuationSeparator" w:id="0">
    <w:p w14:paraId="00E77B96" w14:textId="77777777" w:rsidR="00857D97" w:rsidRDefault="00857D9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44793" w14:textId="77777777" w:rsidR="001E77C4" w:rsidRDefault="00857D97">
    <w:pPr>
      <w:pStyle w:val="Header"/>
      <w:jc w:val="right"/>
      <w:rPr>
        <w:rFonts w:hint="eastAsia"/>
        <w:color w:val="6E7D8C"/>
        <w:sz w:val="16"/>
      </w:rPr>
    </w:pPr>
    <w:r>
      <w:rPr>
        <w:color w:val="6E7D8C"/>
        <w:sz w:val="16"/>
      </w:rPr>
      <w:t>WEEK 6 | RETAIL E-COMMERCE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1CAE"/>
    <w:multiLevelType w:val="multilevel"/>
    <w:tmpl w:val="EBD4BD0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B73BDA"/>
    <w:multiLevelType w:val="multilevel"/>
    <w:tmpl w:val="A68CF8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676335"/>
    <w:multiLevelType w:val="multilevel"/>
    <w:tmpl w:val="74D0E33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204E09DB"/>
    <w:multiLevelType w:val="multilevel"/>
    <w:tmpl w:val="9A46FAB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1BB28F6"/>
    <w:multiLevelType w:val="multilevel"/>
    <w:tmpl w:val="225464F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3EB7F5D"/>
    <w:multiLevelType w:val="multilevel"/>
    <w:tmpl w:val="AB2088E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6D66FAA"/>
    <w:multiLevelType w:val="multilevel"/>
    <w:tmpl w:val="30B84CC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1"/>
  </w:num>
  <w:num w:numId="3">
    <w:abstractNumId w:val="4"/>
  </w:num>
  <w:num w:numId="4">
    <w:abstractNumId w:val="3"/>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E77C4"/>
    <w:rsid w:val="001E77C4"/>
    <w:rsid w:val="00857D97"/>
    <w:rsid w:val="00DA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087F"/>
  <w15:docId w15:val="{B76DA8D0-5C64-464D-91E2-A1496136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hAnsi="Aptos"/>
      <w:color w:val="2D3748"/>
      <w:sz w:val="2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144B78"/>
      <w:sz w:val="3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E66914"/>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144B78"/>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themeColor="accent1" w:themeShade="7F"/>
    </w:rPr>
  </w:style>
  <w:style w:type="paragraph" w:styleId="Heading7">
    <w:name w:val="heading 7"/>
    <w:basedOn w:val="Normal"/>
    <w:next w:val="Normal"/>
    <w:link w:val="Heading7Char"/>
    <w:qFormat/>
    <w:pPr>
      <w:keepNext/>
      <w:keepLines/>
      <w:spacing w:before="200" w:after="0"/>
      <w:outlineLvl w:val="6"/>
    </w:pPr>
    <w:rPr>
      <w:rFonts w:ascii="Calibri" w:eastAsia="MS Gothic" w:hAnsi="Calibri"/>
      <w:i/>
      <w:iCs/>
      <w:color w:val="404040" w:themeColor="dark1" w:themeTint="BF"/>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olor w:val="4F81BD" w:themeColor="accent1"/>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i/>
      <w:iCs/>
      <w:color w:val="404040" w:themeColor="dark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b/>
      <w:color w:val="142D50"/>
      <w:spacing w:val="5"/>
      <w:kern w:val="2"/>
      <w:sz w:val="60"/>
      <w:szCs w:val="52"/>
    </w:rPr>
  </w:style>
  <w:style w:type="paragraph" w:styleId="Subtitle">
    <w:name w:val="Subtitle"/>
    <w:basedOn w:val="Normal"/>
    <w:next w:val="Normal"/>
    <w:link w:val="SubtitleChar"/>
    <w:uiPriority w:val="11"/>
    <w:qFormat/>
    <w:rPr>
      <w:rFonts w:ascii="Calibri" w:eastAsia="MS Gothic" w:hAnsi="Calibri"/>
      <w:i/>
      <w:iCs/>
      <w:color w:val="4F81BD" w:themeColor="accent1"/>
      <w:spacing w:val="15"/>
      <w:sz w:val="24"/>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4175</Words>
  <Characters>23800</Characters>
  <Application>Microsoft Office Word</Application>
  <DocSecurity>0</DocSecurity>
  <Lines>198</Lines>
  <Paragraphs>55</Paragraphs>
  <ScaleCrop>false</ScaleCrop>
  <Company/>
  <LinksUpToDate>false</LinksUpToDate>
  <CharactersWithSpaces>27920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HP LAPTOP</cp:lastModifiedBy>
  <cp:revision>3</cp:revision>
  <dcterms:created xsi:type="dcterms:W3CDTF">2013-12-23T23:15:00Z</dcterms:created>
  <dcterms:modified xsi:type="dcterms:W3CDTF">2026-10-11T12:10:00Z</dcterms:modified>
  <dc:language>en-US</dc:language>
</cp:coreProperties>
</file>