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r>
        <w:t xml:space="preserve"/>
      </w:r>
    </w:p>
    <w:p>
      <w:pPr>
        <w:jc w:val="center"/>
      </w:pPr>
      <w:r>
        <w:rPr>
          <w:rFonts w:ascii="Arial" w:cs="Arial" w:eastAsia="Arial" w:hAnsi="Arial"/>
          <w:b/>
          <w:bCs/>
          <w:color w:val="1F4E79"/>
          <w:sz w:val="52"/>
          <w:szCs w:val="52"/>
        </w:rPr>
        <w:t xml:space="preserve">CDR-MW-149 İnsansız Hava Aracı</w:t>
      </w:r>
    </w:p>
    <w:p>
      <w:pPr>
        <w:jc w:val="center"/>
      </w:pPr>
      <w:r>
        <w:rPr>
          <w:rFonts w:ascii="Arial" w:cs="Arial" w:eastAsia="Arial" w:hAnsi="Arial"/>
          <w:b/>
          <w:bCs/>
          <w:color w:val="1F4E79"/>
          <w:sz w:val="52"/>
          <w:szCs w:val="52"/>
        </w:rPr>
        <w:t xml:space="preserve">Hibrit Güç Sistemi</w:t>
      </w:r>
    </w:p>
    <w:p>
      <w:pPr>
        <w:spacing w:before="160"/>
        <w:jc w:val="center"/>
      </w:pPr>
      <w:r>
        <w:rPr>
          <w:rFonts w:ascii="Arial" w:cs="Arial" w:eastAsia="Arial" w:hAnsi="Arial"/>
          <w:b/>
          <w:bCs/>
          <w:color w:val="2E75B6"/>
          <w:sz w:val="40"/>
          <w:szCs w:val="40"/>
        </w:rPr>
        <w:t xml:space="preserve">ICE + Jeneratör + DC-DC Dönüştürücü</w:t>
      </w:r>
    </w:p>
    <w:p>
      <w:pPr>
        <w:spacing w:before="120"/>
        <w:jc w:val="center"/>
      </w:pPr>
      <w:r>
        <w:rPr>
          <w:rFonts w:ascii="Arial" w:cs="Arial" w:eastAsia="Arial" w:hAnsi="Arial"/>
          <w:color w:val="2E75B6"/>
          <w:sz w:val="28"/>
          <w:szCs w:val="28"/>
        </w:rPr>
        <w:t xml:space="preserve">Kapsamlı Teknik Araştırma ve COTS Çözüm Analizi (5 kW – 200 kW)</w:t>
      </w:r>
    </w:p>
    <w:p>
      <w:pPr>
        <w:spacing w:after="0" w:before="600"/>
      </w:pPr>
      <w:r>
        <w:t xml:space="preserve"/>
      </w:r>
    </w:p>
    <w:p>
      <w:pPr>
        <w:jc w:val="center"/>
      </w:pPr>
      <w:r>
        <w:rPr>
          <w:color w:val="1F4E79"/>
          <w:sz w:val="22"/>
          <w:szCs w:val="22"/>
        </w:rPr>
        <w:t xml:space="preserve">─────────────────────────────────</w:t>
      </w:r>
    </w:p>
    <w:p>
      <w:pPr>
        <w:spacing w:before="240"/>
        <w:jc w:val="center"/>
      </w:pPr>
      <w:r>
        <w:rPr>
          <w:rFonts w:ascii="Arial" w:cs="Arial" w:eastAsia="Arial" w:hAnsi="Arial"/>
          <w:color w:val="404040"/>
          <w:sz w:val="26"/>
          <w:szCs w:val="26"/>
        </w:rPr>
        <w:t xml:space="preserve">Haziran 2026</w:t>
      </w:r>
    </w:p>
    <w:p>
      <w:pPr>
        <w:jc w:val="center"/>
      </w:pPr>
      <w:r>
        <w:rPr>
          <w:rFonts w:ascii="Arial" w:cs="Arial" w:eastAsia="Arial" w:hAnsi="Arial"/>
          <w:color w:val="808080"/>
          <w:sz w:val="22"/>
          <w:szCs w:val="22"/>
        </w:rPr>
        <w:t xml:space="preserve">Versiyon 1.0  |  Gizli Teknik Doküman</w:t>
      </w:r>
    </w:p>
    <w:p>
      <w:r>
        <w:br w:type="page"/>
      </w:r>
    </w:p>
    <w:p>
      <w:pPr>
        <w:pStyle w:val="Heading1"/>
      </w:pPr>
      <w:r>
        <w:rPr>
          <w:b/>
          <w:bCs/>
        </w:rPr>
        <w:t xml:space="preserve">İÇİNDEKİLER</w:t>
      </w:r>
    </w:p>
    <w:p>
      <w:pPr>
        <w:spacing w:after="40" w:before="60"/>
      </w:pPr>
      <w:r>
        <w:rPr>
          <w:rFonts w:ascii="Arial" w:cs="Arial" w:eastAsia="Arial" w:hAnsi="Arial"/>
          <w:sz w:val="22"/>
          <w:szCs w:val="22"/>
        </w:rPr>
        <w:t xml:space="preserve">1.  Yönetici Özeti</w:t>
      </w:r>
    </w:p>
    <w:p>
      <w:pPr>
        <w:spacing w:after="40" w:before="40"/>
      </w:pPr>
      <w:r>
        <w:rPr>
          <w:rFonts w:ascii="Arial" w:cs="Arial" w:eastAsia="Arial" w:hAnsi="Arial"/>
          <w:sz w:val="22"/>
          <w:szCs w:val="22"/>
        </w:rPr>
        <w:t xml:space="preserve">2.  Hibrit Güç Sistemlerine Genel Bakış</w:t>
      </w:r>
    </w:p>
    <w:p>
      <w:pPr>
        <w:spacing w:after="40" w:before="40"/>
      </w:pPr>
      <w:r>
        <w:rPr>
          <w:rFonts w:ascii="Arial" w:cs="Arial" w:eastAsia="Arial" w:hAnsi="Arial"/>
          <w:sz w:val="22"/>
          <w:szCs w:val="22"/>
        </w:rPr>
        <w:t xml:space="preserve">3.  COTS Üreticiler ve Modeller (5–200 kW)</w:t>
      </w:r>
    </w:p>
    <w:p>
      <w:pPr>
        <w:spacing w:after="40" w:before="40"/>
      </w:pPr>
      <w:r>
        <w:rPr>
          <w:rFonts w:ascii="Arial" w:cs="Arial" w:eastAsia="Arial" w:hAnsi="Arial"/>
          <w:sz w:val="22"/>
          <w:szCs w:val="22"/>
        </w:rPr>
        <w:t xml:space="preserve">4.  Teknik Karşılaştırma Matrisi</w:t>
      </w:r>
    </w:p>
    <w:p>
      <w:pPr>
        <w:spacing w:after="40" w:before="40"/>
      </w:pPr>
      <w:r>
        <w:rPr>
          <w:rFonts w:ascii="Arial" w:cs="Arial" w:eastAsia="Arial" w:hAnsi="Arial"/>
          <w:sz w:val="22"/>
          <w:szCs w:val="22"/>
        </w:rPr>
        <w:t xml:space="preserve">5.  Hibrit vs. Saf Bataryalı Sistemler: Menzil ve Payload Avantajı</w:t>
      </w:r>
    </w:p>
    <w:p>
      <w:pPr>
        <w:spacing w:after="40" w:before="40"/>
      </w:pPr>
      <w:r>
        <w:rPr>
          <w:rFonts w:ascii="Arial" w:cs="Arial" w:eastAsia="Arial" w:hAnsi="Arial"/>
          <w:sz w:val="22"/>
          <w:szCs w:val="22"/>
        </w:rPr>
        <w:t xml:space="preserve">6.  Entegrasyon Zorlukları: Termal, NVH, Soğutma</w:t>
      </w:r>
    </w:p>
    <w:p>
      <w:pPr>
        <w:spacing w:after="40" w:before="40"/>
      </w:pPr>
      <w:r>
        <w:rPr>
          <w:rFonts w:ascii="Arial" w:cs="Arial" w:eastAsia="Arial" w:hAnsi="Arial"/>
          <w:sz w:val="22"/>
          <w:szCs w:val="22"/>
        </w:rPr>
        <w:t xml:space="preserve">7.  Proje Gereksinimleri için Önerilen Kombinasyonlar</w:t>
      </w:r>
    </w:p>
    <w:p>
      <w:pPr>
        <w:spacing w:after="40" w:before="40"/>
      </w:pPr>
      <w:r>
        <w:rPr>
          <w:rFonts w:ascii="Arial" w:cs="Arial" w:eastAsia="Arial" w:hAnsi="Arial"/>
          <w:sz w:val="22"/>
          <w:szCs w:val="22"/>
        </w:rPr>
        <w:t xml:space="preserve">8.  Sonuç ve Tavsiyeler</w:t>
      </w:r>
    </w:p>
    <w:p>
      <w:r>
        <w:br w:type="page"/>
      </w:r>
    </w:p>
    <w:p>
      <w:pPr>
        <w:pStyle w:val="Heading1"/>
      </w:pPr>
      <w:r>
        <w:rPr>
          <w:b/>
          <w:bCs/>
        </w:rPr>
        <w:t xml:space="preserve">1. YÖNETİCİ ÖZETİ</w:t>
      </w:r>
    </w:p>
    <w:p>
      <w:pPr>
        <w:spacing w:after="120" w:before="60"/>
        <w:jc w:val="both"/>
      </w:pPr>
      <w:r>
        <w:rPr>
          <w:rFonts w:ascii="Arial" w:cs="Arial" w:eastAsia="Arial" w:hAnsi="Arial"/>
          <w:sz w:val="22"/>
          <w:szCs w:val="22"/>
        </w:rPr>
        <w:t xml:space="preserve">Bu rapor, CDR-MW-149 yangın söndürme İHA platformunun güç sistemi seçim sürecine destek amacıyla hazırlanmıştır. 5 kW ile 200 kW güç aralığındaki ticari hazır (COTS) hibrit güç sistemleri; ICE (İçten Yanmalı Motor), alternatör/jeneratör ve DC-DC dönüştürücü bileşenleri bazında sistematik olarak araştırılmış, karşılaştırılmış ve değerlendirilmiştir.</w:t>
      </w:r>
    </w:p>
    <w:p>
      <w:pPr>
        <w:spacing w:after="120" w:before="60"/>
        <w:jc w:val="both"/>
      </w:pPr>
      <w:r>
        <w:rPr>
          <w:rFonts w:ascii="Arial" w:cs="Arial" w:eastAsia="Arial" w:hAnsi="Arial"/>
          <w:sz w:val="22"/>
          <w:szCs w:val="22"/>
        </w:rPr>
        <w:t xml:space="preserve">Mevcut batarya teknolojisinin İHA uygulamalarında enerji yoğunluğu kısıtı (LiPo: ~200 Wh/kg, yakıt: ~11.000–12.000 Wh/kg), hibrit sistemleri özellikle ağır yük taşıyan ve uzun menzil gerektiren platformlar için belirleyici bir avantaja taşımaktadır. Araştırmalar, hibrit sistemlerin saf bataryalı eşdeğerlerine kıyasla uçuş süresini 2–4 kat artırabileceğini, faydalı yük kapasitesini ise %30–60 oranında iyileştirebileceğini ortaya koymaktadır.</w:t>
      </w:r>
    </w:p>
    <w:p>
      <w:pPr>
        <w:pBdr>
          <w:top w:val="single" w:color="2E75B6" w:sz="4"/>
          <w:bottom w:val="single" w:color="2E75B6" w:sz="4"/>
          <w:left w:val="single" w:color="2E75B6" w:sz="12"/>
          <w:right w:val="single" w:color="2E75B6" w:sz="4"/>
        </w:pBdr>
        <w:shd w:fill="EBF3FB" w:val="clear"/>
        <w:spacing w:after="80" w:before="80"/>
        <w:ind w:left="360" w:right="360"/>
      </w:pPr>
      <w:r>
        <w:rPr>
          <w:rFonts w:ascii="Arial" w:cs="Arial" w:eastAsia="Arial" w:hAnsi="Arial"/>
          <w:color w:val="1F4E79"/>
          <w:sz w:val="20"/>
          <w:szCs w:val="20"/>
        </w:rPr>
        <w:t xml:space="preserve">CDR-MW-149 için Öneri: 20–50 kW güç aralığı (Sky Power SP-210 veya Suter TOA330-APU tabanlı sistem) en uygun denge noktasını sunmaktadır. Ağır yakıt (Jet-A1/JP-8) uyumluluğu, SHGM/askeri lojistik gereksinimler açısından kritik avantaj sağlar.</w:t>
      </w:r>
    </w:p>
    <w:p>
      <w:r>
        <w:br w:type="page"/>
      </w:r>
    </w:p>
    <w:p>
      <w:pPr>
        <w:pStyle w:val="Heading1"/>
      </w:pPr>
      <w:r>
        <w:rPr>
          <w:b/>
          <w:bCs/>
        </w:rPr>
        <w:t xml:space="preserve">2. HİBRİT GÜÇ SİSTEMLERİNE GENEL BAKIŞ</w:t>
      </w:r>
    </w:p>
    <w:p>
      <w:pPr>
        <w:spacing w:after="80" w:before="200"/>
      </w:pPr>
      <w:r>
        <w:rPr>
          <w:rFonts w:ascii="Arial" w:cs="Arial" w:eastAsia="Arial" w:hAnsi="Arial"/>
          <w:b/>
          <w:bCs/>
          <w:color w:val="2E75B6"/>
          <w:sz w:val="24"/>
          <w:szCs w:val="24"/>
        </w:rPr>
        <w:t xml:space="preserve">2.1 Sistem Mimarisi ve Çalışma Prensibi</w:t>
      </w:r>
    </w:p>
    <w:p>
      <w:pPr>
        <w:spacing w:after="120" w:before="60"/>
        <w:jc w:val="both"/>
      </w:pPr>
      <w:r>
        <w:rPr>
          <w:rFonts w:ascii="Arial" w:cs="Arial" w:eastAsia="Arial" w:hAnsi="Arial"/>
          <w:sz w:val="22"/>
          <w:szCs w:val="22"/>
        </w:rPr>
        <w:t xml:space="preserve">İHA hibrit güç sistemleri, tipik olarak seri hibrit (series hybrid) mimarisinde tasarlanır: ICE mekanik enerjiyi jeneratör aracılığıyla elektrik enerjisine dönüştürür; DC-DC dönüştürücü gerilimi regüle eder ve batarya tampon enerji kaynağı olarak görev yapar. Bu mimari, ICE'nin maksimum verimlilik noktasında (Best Efficiency Point – BEP) çalıştırılmasına olanak tanır.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100"/>
        <w:gridCol w:w="2838"/>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BİLEŞEN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GÖREV</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TİPİK VERİM</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NOTLAR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ICE (Motor)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Yakıtı mekanik enerjiye dönüştürür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%28–35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Wankel, 2-strok, 4-strok</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PMSG Jeneratör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Mekanik → AC elektrik</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%90–96</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Kalıcı mıknatıslı senkron</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Aktif Doğrultucu</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AC → DC dönüşümü</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%95–98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IGBT/SiC tabanlı</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DC-DC Dönüştürücü</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Gerilim regülasyonu</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%93–97</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Buck/Boost/SEPIC</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Li-Po Batarya</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Pik güç tamponu</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%90–95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Kalkış, manevra desteği</w:t>
            </w:r>
          </w:p>
        </w:tc>
      </w:tr>
    </w:tbl>
    <w:p>
      <w:pPr>
        <w:spacing w:after="80" w:before="120"/>
      </w:pPr>
      <w:r>
        <w:rPr>
          <w:rFonts w:ascii="Arial" w:cs="Arial" w:eastAsia="Arial" w:hAnsi="Arial"/>
          <w:i/>
          <w:iCs/>
          <w:color w:val="555555"/>
          <w:sz w:val="19"/>
          <w:szCs w:val="19"/>
        </w:rPr>
        <w:t xml:space="preserve">Tablo 2.1 – Hibrit Güç Sistemi Bileşenleri ve Verimlilikleri</w:t>
      </w:r>
    </w:p>
    <w:p>
      <w:pPr>
        <w:spacing w:after="80" w:before="200"/>
      </w:pPr>
      <w:r>
        <w:rPr>
          <w:rFonts w:ascii="Arial" w:cs="Arial" w:eastAsia="Arial" w:hAnsi="Arial"/>
          <w:b/>
          <w:bCs/>
          <w:color w:val="2E75B6"/>
          <w:sz w:val="24"/>
          <w:szCs w:val="24"/>
        </w:rPr>
        <w:t xml:space="preserve">2.2 Sistem Konfigürasyonları</w:t>
      </w:r>
    </w:p>
    <w:p>
      <w:pPr>
        <w:spacing w:after="120" w:before="60"/>
        <w:jc w:val="both"/>
      </w:pPr>
      <w:r>
        <w:rPr>
          <w:rFonts w:ascii="Arial" w:cs="Arial" w:eastAsia="Arial" w:hAnsi="Arial"/>
          <w:sz w:val="22"/>
          <w:szCs w:val="22"/>
        </w:rPr>
        <w:t xml:space="preserve">İHA uygulamalarında üç temel hibrit konfigürasyon kullanılır:</w:t>
      </w:r>
    </w:p>
    <w:p>
      <w:pPr>
        <w:pStyle w:val="ListParagraph"/>
        <w:numPr>
          <w:ilvl w:val="0"/>
          <w:numId w:val="2"/>
        </w:numPr>
        <w:spacing w:after="40" w:before="40"/>
      </w:pPr>
      <w:r>
        <w:rPr>
          <w:rFonts w:ascii="Arial" w:cs="Arial" w:eastAsia="Arial" w:hAnsi="Arial"/>
          <w:sz w:val="22"/>
          <w:szCs w:val="22"/>
        </w:rPr>
        <w:t xml:space="preserve">Seri Hibrit (Series): ICE yalnızca elektrik üretir; tahrik tamamen elektriktir. Pik güç için batarya tamponu kullanılır. CDR-MW-149 için önerilen konfigürasyon.</w:t>
      </w:r>
    </w:p>
    <w:p>
      <w:pPr>
        <w:pStyle w:val="ListParagraph"/>
        <w:numPr>
          <w:ilvl w:val="0"/>
          <w:numId w:val="2"/>
        </w:numPr>
        <w:spacing w:after="40" w:before="40"/>
      </w:pPr>
      <w:r>
        <w:rPr>
          <w:rFonts w:ascii="Arial" w:cs="Arial" w:eastAsia="Arial" w:hAnsi="Arial"/>
          <w:sz w:val="22"/>
          <w:szCs w:val="22"/>
        </w:rPr>
        <w:t xml:space="preserve">Paralel Hibrit (Parallel): ICE hem mekanik hem de elektrik üretebilir. Daha karmaşık güç yönetimi gerektirir.</w:t>
      </w:r>
    </w:p>
    <w:p>
      <w:pPr>
        <w:pStyle w:val="ListParagraph"/>
        <w:numPr>
          <w:ilvl w:val="0"/>
          <w:numId w:val="2"/>
        </w:numPr>
        <w:spacing w:after="40" w:before="40"/>
      </w:pPr>
      <w:r>
        <w:rPr>
          <w:rFonts w:ascii="Arial" w:cs="Arial" w:eastAsia="Arial" w:hAnsi="Arial"/>
          <w:sz w:val="22"/>
          <w:szCs w:val="22"/>
        </w:rPr>
        <w:t xml:space="preserve">Seri-Paralel (Power Split): İki modun melez kullanımı. Yüksek güç platformları için uygundur (&gt;100 kW).</w:t>
      </w:r>
    </w:p>
    <w:p>
      <w:pPr>
        <w:spacing w:after="80" w:before="200"/>
      </w:pPr>
      <w:r>
        <w:rPr>
          <w:rFonts w:ascii="Arial" w:cs="Arial" w:eastAsia="Arial" w:hAnsi="Arial"/>
          <w:b/>
          <w:bCs/>
          <w:color w:val="2E75B6"/>
          <w:sz w:val="24"/>
          <w:szCs w:val="24"/>
        </w:rPr>
        <w:t xml:space="preserve">2.3 Güç Yönetimi Stratejileri</w:t>
      </w:r>
    </w:p>
    <w:p>
      <w:pPr>
        <w:spacing w:after="120" w:before="60"/>
        <w:jc w:val="both"/>
      </w:pPr>
      <w:r>
        <w:rPr>
          <w:rFonts w:ascii="Arial" w:cs="Arial" w:eastAsia="Arial" w:hAnsi="Arial"/>
          <w:sz w:val="22"/>
          <w:szCs w:val="22"/>
        </w:rPr>
        <w:t xml:space="preserve">Etkin bir Enerji Yönetim Stratejisi (EMS), sistem verimliliğini %15–25 artırabilir. Yaygın yaklaşımlar şunlardır:</w:t>
      </w:r>
    </w:p>
    <w:p>
      <w:pPr>
        <w:pStyle w:val="ListParagraph"/>
        <w:numPr>
          <w:ilvl w:val="0"/>
          <w:numId w:val="2"/>
        </w:numPr>
        <w:spacing w:after="40" w:before="40"/>
      </w:pPr>
      <w:r>
        <w:rPr>
          <w:rFonts w:ascii="Arial" w:cs="Arial" w:eastAsia="Arial" w:hAnsi="Arial"/>
          <w:sz w:val="22"/>
          <w:szCs w:val="22"/>
        </w:rPr>
        <w:t xml:space="preserve">Sabit termostat (On/Off) kontrolü: Basit, düşük maliyetli ama suboptimal</w:t>
      </w:r>
    </w:p>
    <w:p>
      <w:pPr>
        <w:pStyle w:val="ListParagraph"/>
        <w:numPr>
          <w:ilvl w:val="0"/>
          <w:numId w:val="2"/>
        </w:numPr>
        <w:spacing w:after="40" w:before="40"/>
      </w:pPr>
      <w:r>
        <w:rPr>
          <w:rFonts w:ascii="Arial" w:cs="Arial" w:eastAsia="Arial" w:hAnsi="Arial"/>
          <w:sz w:val="22"/>
          <w:szCs w:val="22"/>
        </w:rPr>
        <w:t xml:space="preserve">Güç takip (Load-Following): ICE çıkışı talebe göre modüle edilir</w:t>
      </w:r>
    </w:p>
    <w:p>
      <w:pPr>
        <w:pStyle w:val="ListParagraph"/>
        <w:numPr>
          <w:ilvl w:val="0"/>
          <w:numId w:val="2"/>
        </w:numPr>
        <w:spacing w:after="40" w:before="40"/>
      </w:pPr>
      <w:r>
        <w:rPr>
          <w:rFonts w:ascii="Arial" w:cs="Arial" w:eastAsia="Arial" w:hAnsi="Arial"/>
          <w:sz w:val="22"/>
          <w:szCs w:val="22"/>
        </w:rPr>
        <w:t xml:space="preserve">Optimal çalışma noktası takibi (ECMS): Eşdeğer tüketim minimizasyonu — en verimli yaklaşım</w:t>
      </w:r>
    </w:p>
    <w:p>
      <w:pPr>
        <w:pStyle w:val="ListParagraph"/>
        <w:numPr>
          <w:ilvl w:val="0"/>
          <w:numId w:val="2"/>
        </w:numPr>
        <w:spacing w:after="40" w:before="40"/>
      </w:pPr>
      <w:r>
        <w:rPr>
          <w:rFonts w:ascii="Arial" w:cs="Arial" w:eastAsia="Arial" w:hAnsi="Arial"/>
          <w:sz w:val="22"/>
          <w:szCs w:val="22"/>
        </w:rPr>
        <w:t xml:space="preserve">Model Öngörülü Kontrol (MPC): Misyon profiline göre önceden optimizasyon</w:t>
      </w:r>
    </w:p>
    <w:p>
      <w:r>
        <w:br w:type="page"/>
      </w:r>
    </w:p>
    <w:p>
      <w:pPr>
        <w:pStyle w:val="Heading1"/>
      </w:pPr>
      <w:r>
        <w:rPr>
          <w:b/>
          <w:bCs/>
        </w:rPr>
        <w:t xml:space="preserve">3. COTS ÜRETİCİLER VE MODELLER (5 kW – 200 kW)</w:t>
      </w:r>
    </w:p>
    <w:p>
      <w:pPr>
        <w:spacing w:after="80" w:before="200"/>
      </w:pPr>
      <w:r>
        <w:rPr>
          <w:rFonts w:ascii="Arial" w:cs="Arial" w:eastAsia="Arial" w:hAnsi="Arial"/>
          <w:b/>
          <w:bCs/>
          <w:color w:val="2E75B6"/>
          <w:sz w:val="24"/>
          <w:szCs w:val="24"/>
        </w:rPr>
        <w:t xml:space="preserve">3.1 Sky Power GmbH (Almanya)</w:t>
      </w:r>
    </w:p>
    <w:p>
      <w:pPr>
        <w:spacing w:after="120" w:before="60"/>
        <w:jc w:val="both"/>
      </w:pPr>
      <w:r>
        <w:rPr>
          <w:rFonts w:ascii="Arial" w:cs="Arial" w:eastAsia="Arial" w:hAnsi="Arial"/>
          <w:sz w:val="22"/>
          <w:szCs w:val="22"/>
        </w:rPr>
        <w:t xml:space="preserve">Bad Homburg merkezli Sky Power, İHA endüstrisinin önde gelen 2-strok ve Wankel motor üreticilerinden biridir. Entegre hibrit sistemleri (motor + jeneratör + SGC-352 kontrolcü + soğutma), 25–120 kg MTOW sınıfındaki platformlar için tasarlanmıştır. Ağır yakıt (HF) seçeneği standart olarak sunulmaktadır.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200"/>
        <w:gridCol w:w="1300"/>
        <w:gridCol w:w="1200"/>
        <w:gridCol w:w="1300"/>
        <w:gridCol w:w="1938"/>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HACİM (cc)</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MOTOR GÜCÜ</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ELEKTRİK ÇIKIŞI</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AĞIRLIK (kg)</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YAKIT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DC ÇIKIŞ</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SP-55 FI TS GEN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55 cc</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4.5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~3.5 kg</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 / 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 VDC</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SP-110 FI TS GEN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110 cc</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4–5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 kg</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 / 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 VDC</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SP-170 HF GEN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170 cc</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5–7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~8.5 kg</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HF (JP-8/Jet-A1)</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48/56 VDC</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SP-210 FI TS GEN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210 cc</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7–10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 kg</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 / 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 VDC</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SP-275 FI TS GEN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275 cc</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10–15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 kg</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 / 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48/56 VDC</w:t>
            </w:r>
          </w:p>
        </w:tc>
      </w:tr>
    </w:tbl>
    <w:p>
      <w:pPr>
        <w:spacing w:after="160" w:before="80"/>
      </w:pPr>
      <w:r>
        <w:rPr>
          <w:rFonts w:ascii="Arial" w:cs="Arial" w:eastAsia="Arial" w:hAnsi="Arial"/>
          <w:i/>
          <w:iCs/>
          <w:color w:val="555555"/>
          <w:sz w:val="19"/>
          <w:szCs w:val="19"/>
        </w:rPr>
        <w:t xml:space="preserve">Tablo 3.1 – Sky Power Hibrit Jeneratör Ürün Ailesi</w:t>
      </w:r>
    </w:p>
    <w:p>
      <w:pPr>
        <w:pStyle w:val="ListParagraph"/>
        <w:numPr>
          <w:ilvl w:val="0"/>
          <w:numId w:val="2"/>
        </w:numPr>
        <w:spacing w:after="40" w:before="40"/>
      </w:pPr>
      <w:r>
        <w:rPr>
          <w:rFonts w:ascii="Arial" w:cs="Arial" w:eastAsia="Arial" w:hAnsi="Arial"/>
          <w:sz w:val="22"/>
          <w:szCs w:val="22"/>
        </w:rPr>
        <w:t xml:space="preserve">SGC 352 Starter-Generator Kontrolcü: Motor çalıştırma + AC→DC dönüşüm entegre</w:t>
      </w:r>
    </w:p>
    <w:p>
      <w:pPr>
        <w:pStyle w:val="ListParagraph"/>
        <w:numPr>
          <w:ilvl w:val="0"/>
          <w:numId w:val="2"/>
        </w:numPr>
        <w:spacing w:after="40" w:before="40"/>
      </w:pPr>
      <w:r>
        <w:rPr>
          <w:rFonts w:ascii="Arial" w:cs="Arial" w:eastAsia="Arial" w:hAnsi="Arial"/>
          <w:sz w:val="22"/>
          <w:szCs w:val="22"/>
        </w:rPr>
        <w:t xml:space="preserve">HKZ İgnisyon Sistemi: Güvenilirlik ve emisyon optimizasyonu</w:t>
      </w:r>
    </w:p>
    <w:p>
      <w:pPr>
        <w:pStyle w:val="ListParagraph"/>
        <w:numPr>
          <w:ilvl w:val="0"/>
          <w:numId w:val="2"/>
        </w:numPr>
        <w:spacing w:after="40" w:before="40"/>
      </w:pPr>
      <w:r>
        <w:rPr>
          <w:rFonts w:ascii="Arial" w:cs="Arial" w:eastAsia="Arial" w:hAnsi="Arial"/>
          <w:sz w:val="22"/>
          <w:szCs w:val="22"/>
        </w:rPr>
        <w:t xml:space="preserve">SP-55 yakıt tüketimi: ~1.5 L/saat (nominal yük)</w:t>
      </w:r>
    </w:p>
    <w:p>
      <w:pPr>
        <w:pStyle w:val="ListParagraph"/>
        <w:numPr>
          <w:ilvl w:val="0"/>
          <w:numId w:val="2"/>
        </w:numPr>
        <w:spacing w:after="40" w:before="40"/>
      </w:pPr>
      <w:r>
        <w:rPr>
          <w:rFonts w:ascii="Arial" w:cs="Arial" w:eastAsia="Arial" w:hAnsi="Arial"/>
          <w:sz w:val="22"/>
          <w:szCs w:val="22"/>
        </w:rPr>
        <w:t xml:space="preserve">FAR 33 Dayanım Testi geçerliliği: SP-110 ve SP-210 için tamamlandı</w:t>
      </w:r>
    </w:p>
    <w:p>
      <w:pPr>
        <w:spacing w:after="80" w:before="200"/>
      </w:pPr>
      <w:r>
        <w:rPr>
          <w:rFonts w:ascii="Arial" w:cs="Arial" w:eastAsia="Arial" w:hAnsi="Arial"/>
          <w:b/>
          <w:bCs/>
          <w:color w:val="2E75B6"/>
          <w:sz w:val="24"/>
          <w:szCs w:val="24"/>
        </w:rPr>
        <w:t xml:space="preserve">3.2 Suter Industries AG (İsviçre)</w:t>
      </w:r>
    </w:p>
    <w:p>
      <w:pPr>
        <w:spacing w:after="120" w:before="60"/>
        <w:jc w:val="both"/>
      </w:pPr>
      <w:r>
        <w:rPr>
          <w:rFonts w:ascii="Arial" w:cs="Arial" w:eastAsia="Arial" w:hAnsi="Arial"/>
          <w:sz w:val="22"/>
          <w:szCs w:val="22"/>
        </w:rPr>
        <w:t xml:space="preserve">Turbenthal merkezli Suter, yarışma motoru mirasını İHA uygulamalarına taşıyan prestijli bir üreticidir. CAE GmbH iş birliğiyle geliştirilen motorlar, ISO 9001:2015 kalite standardına göre üretilmekte ve %100 test edilmektedir. Çift-karşıt silindir (horizontally opposed twin) mimarisinin düşük vibrasyon avantajı, İHA entegrasyonu için kritik önem taşımaktadır.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1500"/>
        <w:gridCol w:w="1500"/>
        <w:gridCol w:w="1200"/>
        <w:gridCol w:w="2438"/>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HACİM</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MOTOR GÜCÜ</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YAKIT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ÖZELLIK</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APU/JEN SEÇENEK</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TOA288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288 cc</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17.6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Hava soğutmalı</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 kW S/G (2 kW opt.)</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TOW288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288 cc</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20.0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Su soğutmalı</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 kW S/G</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HF-TOA288-SDI</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288 cc</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16.5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Jet-A1/JP-5/JP-8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Yarı-direkt enjeksiyon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 kW S/G</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TOA330-SDI</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330 cc</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21.5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Hava soğutmalı</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 kW S/G</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TOA330-APU</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330 cc</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21.5 kW ICE</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Direkt tahrik APU</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17 kW sürekli @ 60 VDC</w:t>
            </w:r>
          </w:p>
        </w:tc>
      </w:tr>
    </w:tbl>
    <w:p>
      <w:pPr>
        <w:spacing w:after="80" w:before="80"/>
      </w:pPr>
      <w:r>
        <w:rPr>
          <w:rFonts w:ascii="Arial" w:cs="Arial" w:eastAsia="Arial" w:hAnsi="Arial"/>
          <w:i/>
          <w:iCs/>
          <w:color w:val="555555"/>
          <w:sz w:val="19"/>
          <w:szCs w:val="19"/>
        </w:rPr>
        <w:t xml:space="preserve">Tablo 3.2 – Suter Industries Motor ve APU Ailesi</w:t>
      </w:r>
    </w:p>
    <w:p>
      <w:pPr>
        <w:pBdr>
          <w:top w:val="single" w:color="2E75B6" w:sz="4"/>
          <w:bottom w:val="single" w:color="2E75B6" w:sz="4"/>
          <w:left w:val="single" w:color="2E75B6" w:sz="12"/>
          <w:right w:val="single" w:color="2E75B6" w:sz="4"/>
        </w:pBdr>
        <w:shd w:fill="EBF3FB" w:val="clear"/>
        <w:spacing w:after="80" w:before="80"/>
        <w:ind w:left="360" w:right="360"/>
      </w:pPr>
      <w:r>
        <w:rPr>
          <w:rFonts w:ascii="Arial" w:cs="Arial" w:eastAsia="Arial" w:hAnsi="Arial"/>
          <w:color w:val="1F4E79"/>
          <w:sz w:val="20"/>
          <w:szCs w:val="20"/>
        </w:rPr>
        <w:t xml:space="preserve">TOA330-APU: 17 kW sürekli elektrik çıkışı, 60 VDC; direkt tahrik (debriyaj yok); ICE + jeneratör + ECU entegre tek paket. CDR-MW-149 için yüksek öncelikli COTS adayı.</w:t>
      </w:r>
    </w:p>
    <w:p>
      <w:pPr>
        <w:pStyle w:val="ListParagraph"/>
        <w:numPr>
          <w:ilvl w:val="0"/>
          <w:numId w:val="2"/>
        </w:numPr>
        <w:spacing w:after="40" w:before="40"/>
      </w:pPr>
      <w:r>
        <w:rPr>
          <w:rFonts w:ascii="Arial" w:cs="Arial" w:eastAsia="Arial" w:hAnsi="Arial"/>
          <w:sz w:val="22"/>
          <w:szCs w:val="22"/>
        </w:rPr>
        <w:t xml:space="preserve">TOA288 BSFC: ~317 g/kWh @ kruvaziyerde (propeller eğrisi)</w:t>
      </w:r>
    </w:p>
    <w:p>
      <w:pPr>
        <w:pStyle w:val="ListParagraph"/>
        <w:numPr>
          <w:ilvl w:val="0"/>
          <w:numId w:val="2"/>
        </w:numPr>
        <w:spacing w:after="40" w:before="40"/>
      </w:pPr>
      <w:r>
        <w:rPr>
          <w:rFonts w:ascii="Arial" w:cs="Arial" w:eastAsia="Arial" w:hAnsi="Arial"/>
          <w:sz w:val="22"/>
          <w:szCs w:val="22"/>
        </w:rPr>
        <w:t xml:space="preserve">Çift karşıt silindir: Birincil kuvvetler sıfır — minimum vibrasyon</w:t>
      </w:r>
    </w:p>
    <w:p>
      <w:pPr>
        <w:pStyle w:val="ListParagraph"/>
        <w:numPr>
          <w:ilvl w:val="0"/>
          <w:numId w:val="2"/>
        </w:numPr>
        <w:spacing w:after="40" w:before="40"/>
      </w:pPr>
      <w:r>
        <w:rPr>
          <w:rFonts w:ascii="Arial" w:cs="Arial" w:eastAsia="Arial" w:hAnsi="Arial"/>
          <w:sz w:val="22"/>
          <w:szCs w:val="22"/>
        </w:rPr>
        <w:t xml:space="preserve">İsviçre/AB çift kullanım export mevzuatına (EU Dual-Use Regulation) uyumlu</w:t>
      </w:r>
    </w:p>
    <w:p>
      <w:pPr>
        <w:spacing w:after="80" w:before="200"/>
      </w:pPr>
      <w:r>
        <w:rPr>
          <w:rFonts w:ascii="Arial" w:cs="Arial" w:eastAsia="Arial" w:hAnsi="Arial"/>
          <w:b/>
          <w:bCs/>
          <w:color w:val="2E75B6"/>
          <w:sz w:val="24"/>
          <w:szCs w:val="24"/>
        </w:rPr>
        <w:t xml:space="preserve">3.3 Pegasus Aeronautics (Kanada)</w:t>
      </w:r>
    </w:p>
    <w:p>
      <w:pPr>
        <w:spacing w:after="120" w:before="60"/>
        <w:jc w:val="both"/>
      </w:pPr>
      <w:r>
        <w:rPr>
          <w:rFonts w:ascii="Arial" w:cs="Arial" w:eastAsia="Arial" w:hAnsi="Arial"/>
          <w:sz w:val="22"/>
          <w:szCs w:val="22"/>
        </w:rPr>
        <w:t xml:space="preserve">Pegasus, çok rotorlu İHA'lar için özelleşmiş hibrit güç paketleri sunan Kanada merkezli bir üreticidir. Otomatik çalıştırma ve kendi kendini düzenleme (self-regulating) özellikleri ile operatör bağımlılığını minimize eder.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1800"/>
        <w:gridCol w:w="2038"/>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ELEKTRİK ÇIKIŞI</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YAKIT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HEDEF PLATFORM</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NOTLAR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GE35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~2–3.5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Küçük multirotor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Plug-and-play; otomatik başlatma</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GE70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Orta multirotor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4000W hibrit çıkış; seri üretim</w:t>
            </w:r>
          </w:p>
        </w:tc>
      </w:tr>
    </w:tbl>
    <w:p>
      <w:pPr>
        <w:spacing w:after="160" w:before="80"/>
      </w:pPr>
      <w:r>
        <w:rPr>
          <w:rFonts w:ascii="Arial" w:cs="Arial" w:eastAsia="Arial" w:hAnsi="Arial"/>
          <w:i/>
          <w:iCs/>
          <w:color w:val="555555"/>
          <w:sz w:val="19"/>
          <w:szCs w:val="19"/>
        </w:rPr>
        <w:t xml:space="preserve">Tablo 3.3 – Pegasus Aeronautics Hibrit Güç Üniteleri</w:t>
      </w:r>
    </w:p>
    <w:p>
      <w:pPr>
        <w:spacing w:after="80" w:before="200"/>
      </w:pPr>
      <w:r>
        <w:rPr>
          <w:rFonts w:ascii="Arial" w:cs="Arial" w:eastAsia="Arial" w:hAnsi="Arial"/>
          <w:b/>
          <w:bCs/>
          <w:color w:val="2E75B6"/>
          <w:sz w:val="24"/>
          <w:szCs w:val="24"/>
        </w:rPr>
        <w:t xml:space="preserve">3.4 Orbital UAV (Avustralya)</w:t>
      </w:r>
    </w:p>
    <w:p>
      <w:pPr>
        <w:spacing w:after="120" w:before="60"/>
        <w:jc w:val="both"/>
      </w:pPr>
      <w:r>
        <w:rPr>
          <w:rFonts w:ascii="Arial" w:cs="Arial" w:eastAsia="Arial" w:hAnsi="Arial"/>
          <w:sz w:val="22"/>
          <w:szCs w:val="22"/>
        </w:rPr>
        <w:t xml:space="preserve">Perth merkezli Orbital UAV, Boeing-Insitu ve Textron gibi dünya devleriyle çalışan entegre ağır yakıt motor sistemi geliştiricidir. FlexDI™ teknolojisi (doğrudan püskürtmeli, kıvılcım ateşlemeli ağır yakıt), geleneksel dizel sistemlerin kalkış güçlüğü sorununu ortadan kaldırır. ISR ve lojistik İHA sınıfları (Grup 3+) için kritik bir tedarikçidir.</w:t>
      </w:r>
    </w:p>
    <w:p>
      <w:pPr>
        <w:pStyle w:val="ListParagraph"/>
        <w:numPr>
          <w:ilvl w:val="0"/>
          <w:numId w:val="2"/>
        </w:numPr>
        <w:spacing w:after="40" w:before="40"/>
      </w:pPr>
      <w:r>
        <w:rPr>
          <w:rFonts w:ascii="Arial" w:cs="Arial" w:eastAsia="Arial" w:hAnsi="Arial"/>
          <w:sz w:val="22"/>
          <w:szCs w:val="22"/>
        </w:rPr>
        <w:t xml:space="preserve">FlexDI™: Jet-A1, JP-5, JP-8 — kıvılcım ateşlemeli direkt püskürtme</w:t>
      </w:r>
    </w:p>
    <w:p>
      <w:pPr>
        <w:pStyle w:val="ListParagraph"/>
        <w:numPr>
          <w:ilvl w:val="0"/>
          <w:numId w:val="2"/>
        </w:numPr>
        <w:spacing w:after="40" w:before="40"/>
      </w:pPr>
      <w:r>
        <w:rPr>
          <w:rFonts w:ascii="Arial" w:cs="Arial" w:eastAsia="Arial" w:hAnsi="Arial"/>
          <w:sz w:val="22"/>
          <w:szCs w:val="22"/>
        </w:rPr>
        <w:t xml:space="preserve">30+ yıl motor geliştirme deneyimi; 15 yıl ağır yakıt İHA uzmanlaşması</w:t>
      </w:r>
    </w:p>
    <w:p>
      <w:pPr>
        <w:pStyle w:val="ListParagraph"/>
        <w:numPr>
          <w:ilvl w:val="0"/>
          <w:numId w:val="2"/>
        </w:numPr>
        <w:spacing w:after="40" w:before="40"/>
      </w:pPr>
      <w:r>
        <w:rPr>
          <w:rFonts w:ascii="Arial" w:cs="Arial" w:eastAsia="Arial" w:hAnsi="Arial"/>
          <w:sz w:val="22"/>
          <w:szCs w:val="22"/>
        </w:rPr>
        <w:t xml:space="preserve">Insitu ScanEagle ve Textron platformlarında aktif kullanım</w:t>
      </w:r>
    </w:p>
    <w:p>
      <w:pPr>
        <w:pStyle w:val="ListParagraph"/>
        <w:numPr>
          <w:ilvl w:val="0"/>
          <w:numId w:val="2"/>
        </w:numPr>
        <w:spacing w:after="40" w:before="40"/>
      </w:pPr>
      <w:r>
        <w:rPr>
          <w:rFonts w:ascii="Arial" w:cs="Arial" w:eastAsia="Arial" w:hAnsi="Arial"/>
          <w:sz w:val="22"/>
          <w:szCs w:val="22"/>
        </w:rPr>
        <w:t xml:space="preserve">Özelleştirilmiş entegrasyon mühendisliği — katalog ürün değil, sistem çözümü</w:t>
      </w:r>
    </w:p>
    <w:p>
      <w:pPr>
        <w:spacing w:after="80" w:before="200"/>
      </w:pPr>
      <w:r>
        <w:rPr>
          <w:rFonts w:ascii="Arial" w:cs="Arial" w:eastAsia="Arial" w:hAnsi="Arial"/>
          <w:b/>
          <w:bCs/>
          <w:color w:val="2E75B6"/>
          <w:sz w:val="24"/>
          <w:szCs w:val="24"/>
        </w:rPr>
        <w:t xml:space="preserve">3.5 Rotron Aerospace (İngiltere)</w:t>
      </w:r>
    </w:p>
    <w:p>
      <w:pPr>
        <w:spacing w:after="120" w:before="60"/>
        <w:jc w:val="both"/>
      </w:pPr>
      <w:r>
        <w:rPr>
          <w:rFonts w:ascii="Arial" w:cs="Arial" w:eastAsia="Arial" w:hAnsi="Arial"/>
          <w:sz w:val="22"/>
          <w:szCs w:val="22"/>
        </w:rPr>
        <w:t xml:space="preserve">İngiltere menşeli Rotron, Wankel tabanlı rotary motor teknolojisini İHA sınıfı platformlar için optimize etmiştir. RT300-XE modeli 300cc, 28 kg ağırlık ve 50 HP (37 kW) çıkış gücü sunar. MAA (Military Aviation Authority) sertifikasyonu ile savunma entegrasyonuna hazırdır.</w:t>
      </w:r>
    </w:p>
    <w:p>
      <w:pPr>
        <w:pStyle w:val="ListParagraph"/>
        <w:numPr>
          <w:ilvl w:val="0"/>
          <w:numId w:val="2"/>
        </w:numPr>
        <w:spacing w:after="40" w:before="40"/>
      </w:pPr>
      <w:r>
        <w:rPr>
          <w:rFonts w:ascii="Arial" w:cs="Arial" w:eastAsia="Arial" w:hAnsi="Arial"/>
          <w:sz w:val="22"/>
          <w:szCs w:val="22"/>
        </w:rPr>
        <w:t xml:space="preserve">RT150 aero-engine: DT-300X VTOL hibrit platformda menzili 400 km'ye taşıyor</w:t>
      </w:r>
    </w:p>
    <w:p>
      <w:pPr>
        <w:pStyle w:val="ListParagraph"/>
        <w:numPr>
          <w:ilvl w:val="0"/>
          <w:numId w:val="2"/>
        </w:numPr>
        <w:spacing w:after="40" w:before="40"/>
      </w:pPr>
      <w:r>
        <w:rPr>
          <w:rFonts w:ascii="Arial" w:cs="Arial" w:eastAsia="Arial" w:hAnsi="Arial"/>
          <w:sz w:val="22"/>
          <w:szCs w:val="22"/>
        </w:rPr>
        <w:t xml:space="preserve">Wankel avantajları: Yüksek güç yoğunluğu, sıfır primer dengeleme kuvveti, kompakt boyut</w:t>
      </w:r>
    </w:p>
    <w:p>
      <w:pPr>
        <w:pStyle w:val="ListParagraph"/>
        <w:numPr>
          <w:ilvl w:val="0"/>
          <w:numId w:val="2"/>
        </w:numPr>
        <w:spacing w:after="40" w:before="40"/>
      </w:pPr>
      <w:r>
        <w:rPr>
          <w:rFonts w:ascii="Arial" w:cs="Arial" w:eastAsia="Arial" w:hAnsi="Arial"/>
          <w:sz w:val="22"/>
          <w:szCs w:val="22"/>
        </w:rPr>
        <w:t xml:space="preserve">5 saate kadar uçuş süresi (RT150 + elektrik batarya tampon)</w:t>
      </w:r>
    </w:p>
    <w:p>
      <w:pPr>
        <w:spacing w:after="80" w:before="200"/>
      </w:pPr>
      <w:r>
        <w:rPr>
          <w:rFonts w:ascii="Arial" w:cs="Arial" w:eastAsia="Arial" w:hAnsi="Arial"/>
          <w:b/>
          <w:bCs/>
          <w:color w:val="2E75B6"/>
          <w:sz w:val="24"/>
          <w:szCs w:val="24"/>
        </w:rPr>
        <w:t xml:space="preserve">3.6 UAV Hybrid Engines (UAVHE) — Polonya</w:t>
      </w:r>
    </w:p>
    <w:p>
      <w:pPr>
        <w:spacing w:after="120" w:before="60"/>
        <w:jc w:val="both"/>
      </w:pPr>
      <w:r>
        <w:rPr>
          <w:rFonts w:ascii="Arial" w:cs="Arial" w:eastAsia="Arial" w:hAnsi="Arial"/>
          <w:sz w:val="22"/>
          <w:szCs w:val="22"/>
        </w:rPr>
        <w:t xml:space="preserve">UAVHE, Avrupa'da güçlü test ve iklim simülasyon altyapısıyla üretim yapan özelleşmiş bir motor imalatçısıdır. 11 kW'lık çift bağımsız jeneratörlü modeli, redundans gerektiren platform için kritik önem taşır.</w:t>
      </w:r>
    </w:p>
    <w:p>
      <w:pPr>
        <w:pStyle w:val="ListParagraph"/>
        <w:numPr>
          <w:ilvl w:val="0"/>
          <w:numId w:val="2"/>
        </w:numPr>
        <w:spacing w:after="40" w:before="40"/>
      </w:pPr>
      <w:r>
        <w:rPr>
          <w:rFonts w:ascii="Arial" w:cs="Arial" w:eastAsia="Arial" w:hAnsi="Arial"/>
          <w:sz w:val="22"/>
          <w:szCs w:val="22"/>
        </w:rPr>
        <w:t xml:space="preserve">2-strok tek silindir hibrit: İki bağımsız 11 kW jeneratör — güç kaynağı redundansı</w:t>
      </w:r>
    </w:p>
    <w:p>
      <w:pPr>
        <w:pStyle w:val="ListParagraph"/>
        <w:numPr>
          <w:ilvl w:val="0"/>
          <w:numId w:val="2"/>
        </w:numPr>
        <w:spacing w:after="40" w:before="40"/>
      </w:pPr>
      <w:r>
        <w:rPr>
          <w:rFonts w:ascii="Arial" w:cs="Arial" w:eastAsia="Arial" w:hAnsi="Arial"/>
          <w:sz w:val="22"/>
          <w:szCs w:val="22"/>
        </w:rPr>
        <w:t xml:space="preserve">Wankel tip hibrit: Yakıt enjeksiyonlu, sabit kanatlı ve eVTOL uyumlu</w:t>
      </w:r>
    </w:p>
    <w:p>
      <w:pPr>
        <w:pStyle w:val="ListParagraph"/>
        <w:numPr>
          <w:ilvl w:val="0"/>
          <w:numId w:val="2"/>
        </w:numPr>
        <w:spacing w:after="40" w:before="40"/>
      </w:pPr>
      <w:r>
        <w:rPr>
          <w:rFonts w:ascii="Arial" w:cs="Arial" w:eastAsia="Arial" w:hAnsi="Arial"/>
          <w:sz w:val="22"/>
          <w:szCs w:val="22"/>
        </w:rPr>
        <w:t xml:space="preserve">Ağır yakıt (JP-1/6) uyumlu; sıvı soğutmalı</w:t>
      </w:r>
    </w:p>
    <w:p>
      <w:r>
        <w:br w:type="page"/>
      </w:r>
    </w:p>
    <w:p>
      <w:pPr>
        <w:pStyle w:val="Heading1"/>
      </w:pPr>
      <w:r>
        <w:rPr>
          <w:b/>
          <w:bCs/>
        </w:rPr>
        <w:t xml:space="preserve">4. TEKNİK KARŞILAŞTIRMA MATRİSİ</w:t>
      </w:r>
    </w:p>
    <w:p>
      <w:pPr>
        <w:spacing w:after="120" w:before="60"/>
        <w:jc w:val="both"/>
      </w:pPr>
      <w:r>
        <w:rPr>
          <w:rFonts w:ascii="Arial" w:cs="Arial" w:eastAsia="Arial" w:hAnsi="Arial"/>
          <w:sz w:val="22"/>
          <w:szCs w:val="22"/>
        </w:rPr>
        <w:t xml:space="preserve">Aşağıdaki matris, tespit edilen COTS çözümlerini güç kapasitelerine göre üç gruba ayırarak karşılaştırmaktadır.</w:t>
      </w:r>
    </w:p>
    <w:p>
      <w:pPr>
        <w:spacing w:after="80" w:before="200"/>
      </w:pPr>
      <w:r>
        <w:rPr>
          <w:rFonts w:ascii="Arial" w:cs="Arial" w:eastAsia="Arial" w:hAnsi="Arial"/>
          <w:b/>
          <w:bCs/>
          <w:color w:val="2E75B6"/>
          <w:sz w:val="24"/>
          <w:szCs w:val="24"/>
        </w:rPr>
        <w:t xml:space="preserve">4.1 Grup A: 5–20 kW Aralığı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000"/>
        <w:gridCol w:w="1000"/>
        <w:gridCol w:w="1000"/>
        <w:gridCol w:w="1038"/>
        <w:gridCol w:w="1000"/>
        <w:gridCol w:w="200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 / ÜRETİCİ</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GÜÇ (kW)</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SİSTEM AĞIRLIĞI (kg)</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YAKIT TÜRÜ</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TÜKETİM (L/saat)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DC ÇIKIŞ (V)</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VERİM (%)</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NOTLAR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SP-55 FI TS GEN (Sky Power)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Küçük multirotor; tek silindir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SP-110 FI TS GEN (Sky Power)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4–5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~72</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FAR 33 test geçerliliği</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GE35 (Pegasus)</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~3.5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48–52</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Plug-and-play; multirotor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GE70 (Pegasus)</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~2.2</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48–52</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Otomatik başlatma ve reg.</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SP-170 HF GEN (Sky Power)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5–7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Jet-A1/JP-8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48/56</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~73</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60–80 kg MTOW; EMSA test</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SP-210 FI TS GEN (Sky Power)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7–10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~73</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 kW ICE; FAR 33; SP-210 ROS</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TOA288 + S/G (Suter)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~8–12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~7–9</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48–60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~74</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ISO 9001; 300+ adet üretildi</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HF-TOA288-SDI (Suter)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~8–10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Jet-A1/JP-5/JP-8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48–60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~72</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Grup 3 İHA; xPonential 2024 debut</w:t>
            </w:r>
          </w:p>
        </w:tc>
      </w:tr>
    </w:tbl>
    <w:p>
      <w:pPr>
        <w:spacing w:after="80" w:before="80"/>
      </w:pPr>
      <w:r>
        <w:rPr>
          <w:rFonts w:ascii="Arial" w:cs="Arial" w:eastAsia="Arial" w:hAnsi="Arial"/>
          <w:i/>
          <w:iCs/>
          <w:color w:val="555555"/>
          <w:sz w:val="19"/>
          <w:szCs w:val="19"/>
        </w:rPr>
        <w:t xml:space="preserve">Tablo 4.1 – 5–20 kW Güç Grubu Karşılaştırması   (*Toplam sistem verimi: ICE × jeneratör × dönüştürücü)</w:t>
      </w:r>
    </w:p>
    <w:p>
      <w:pPr>
        <w:spacing w:after="80" w:before="200"/>
      </w:pPr>
      <w:r>
        <w:rPr>
          <w:rFonts w:ascii="Arial" w:cs="Arial" w:eastAsia="Arial" w:hAnsi="Arial"/>
          <w:b/>
          <w:bCs/>
          <w:color w:val="2E75B6"/>
          <w:sz w:val="24"/>
          <w:szCs w:val="24"/>
        </w:rPr>
        <w:t xml:space="preserve">4.2 Grup B: 20–100 kW Aralığı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100"/>
        <w:gridCol w:w="1100"/>
        <w:gridCol w:w="1000"/>
        <w:gridCol w:w="1038"/>
        <w:gridCol w:w="900"/>
        <w:gridCol w:w="190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MODEL / ÜRETİCİ</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GÜÇ (kW)</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SİSTEM AĞIRLIĞI (kg)</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YAKIT TÜRÜ</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TÜKETİM (L/saat)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DC ÇIKIŞ (V)</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VERİM (%)</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NOTLAR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TOA330-APU (Suter)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17 kW DC</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~14–16</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~79</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Direkt tahrik; entegre ECU; İHA + saha APU</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SP-275 FI TS GEN (Sky Power)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10–15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48/56</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~74</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275 cc; 2 silindir; ağır yük</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UAVHE Wankel Hibrit</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15–20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~12–18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Benzin/JP-6</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48–72</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~72</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Yakıt enjeksiyonlu Wankel</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UAVHE 2-Strok Çift Jeneratör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2×11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~15–20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Ağır Yakıt (JP-1/6)</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48–72</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Redundant çift jeneratör; sıvı soğutmalı</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Rotron RT300-XE Hibrit</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~37 kW (50 HP)</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~28 (motor)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48–96</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~73</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Wankel; MAA sertifikalı; savunma sınıfı</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Orbital FlexDI 40–60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40–60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~35–55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Jet-A1/JP-5/JP-8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~16–25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48–270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Grup 3+ İHA; özel entegrasyon</w:t>
            </w:r>
          </w:p>
        </w:tc>
      </w:tr>
    </w:tbl>
    <w:p>
      <w:pPr>
        <w:spacing w:after="80" w:before="80"/>
      </w:pPr>
      <w:r>
        <w:rPr>
          <w:rFonts w:ascii="Arial" w:cs="Arial" w:eastAsia="Arial" w:hAnsi="Arial"/>
          <w:i/>
          <w:iCs/>
          <w:color w:val="555555"/>
          <w:sz w:val="19"/>
          <w:szCs w:val="19"/>
        </w:rPr>
        <w:t xml:space="preserve">Tablo 4.2 – 20–100 kW Güç Grubu Karşılaştırması</w:t>
      </w:r>
    </w:p>
    <w:p>
      <w:pPr>
        <w:spacing w:after="80" w:before="200"/>
      </w:pPr>
      <w:r>
        <w:rPr>
          <w:rFonts w:ascii="Arial" w:cs="Arial" w:eastAsia="Arial" w:hAnsi="Arial"/>
          <w:b/>
          <w:bCs/>
          <w:color w:val="2E75B6"/>
          <w:sz w:val="24"/>
          <w:szCs w:val="24"/>
        </w:rPr>
        <w:t xml:space="preserve">4.3 Grup C: 100–200 kW Aralığı</w:t>
      </w:r>
    </w:p>
    <w:p>
      <w:pPr>
        <w:spacing w:after="120" w:before="60"/>
        <w:jc w:val="both"/>
      </w:pPr>
      <w:r>
        <w:rPr>
          <w:rFonts w:ascii="Arial" w:cs="Arial" w:eastAsia="Arial" w:hAnsi="Arial"/>
          <w:sz w:val="22"/>
          <w:szCs w:val="22"/>
        </w:rPr>
        <w:t xml:space="preserve">Bu güç bandında tam anlamıyla hazır COTS hibrit İHA güç paketi sayısı oldukça sınırlıdır. Çoğunlukla havacılık sertifikalı pistonlu motorlar (Continental CD-155, Lycoming iE2) ile yüksek güçlü PMSG jeneratörler birleştirilmektedir.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200"/>
        <w:gridCol w:w="1200"/>
        <w:gridCol w:w="1000"/>
        <w:gridCol w:w="1038"/>
        <w:gridCol w:w="2400"/>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ÇÖZÜM / PLATFORM</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GÜÇ (kW)</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SİSTEM AĞIRLIĞI (kg)</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YAKIT TÜRÜ</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DC ÇIKIŞ (V)</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VERİM (%)</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NOTLAR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Continental CD-155 + PMSG</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~90–120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~80–120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Jet-A (Diesel)</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48–270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~76</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Manned/Unmanned sınır; özel entegrasyon</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Lycoming iE2 + PMSG</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~100–120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~85–130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AVGAS / Jet-A</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48–270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FAA/EASA sertifikalı motor tabanı</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Özel Çok Silindirli APU</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100–200 kW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~100–200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72–400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~74–77</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Özelleştirilmiş; MALE/HALE sınıfı İHA</w:t>
            </w:r>
          </w:p>
        </w:tc>
      </w:tr>
    </w:tbl>
    <w:p>
      <w:pPr>
        <w:spacing w:after="160" w:before="80"/>
      </w:pPr>
      <w:r>
        <w:rPr>
          <w:rFonts w:ascii="Arial" w:cs="Arial" w:eastAsia="Arial" w:hAnsi="Arial"/>
          <w:i/>
          <w:iCs/>
          <w:color w:val="555555"/>
          <w:sz w:val="19"/>
          <w:szCs w:val="19"/>
        </w:rPr>
        <w:t xml:space="preserve">Tablo 4.3 – 100–200 kW Güç Grubu</w:t>
      </w:r>
    </w:p>
    <w:p>
      <w:r>
        <w:br w:type="page"/>
      </w:r>
    </w:p>
    <w:p>
      <w:pPr>
        <w:pStyle w:val="Heading1"/>
      </w:pPr>
      <w:r>
        <w:rPr>
          <w:b/>
          <w:bCs/>
        </w:rPr>
        <w:t xml:space="preserve">5. HİBRİT vs. SAF BATARYALI SİSTEMLER: MENZİL VE PAYLOAD AVANTAJI</w:t>
      </w:r>
    </w:p>
    <w:p>
      <w:pPr>
        <w:spacing w:after="80" w:before="200"/>
      </w:pPr>
      <w:r>
        <w:rPr>
          <w:rFonts w:ascii="Arial" w:cs="Arial" w:eastAsia="Arial" w:hAnsi="Arial"/>
          <w:b/>
          <w:bCs/>
          <w:color w:val="2E75B6"/>
          <w:sz w:val="24"/>
          <w:szCs w:val="24"/>
        </w:rPr>
        <w:t xml:space="preserve">5.1 Enerji Yoğunluğu Karşılaştırması</w:t>
      </w:r>
    </w:p>
    <w:p>
      <w:pPr>
        <w:spacing w:after="120" w:before="60"/>
        <w:jc w:val="both"/>
      </w:pPr>
      <w:r>
        <w:rPr>
          <w:rFonts w:ascii="Arial" w:cs="Arial" w:eastAsia="Arial" w:hAnsi="Arial"/>
          <w:sz w:val="22"/>
          <w:szCs w:val="22"/>
        </w:rPr>
        <w:t xml:space="preserve">Hibrit sistemlerin temel avantajı, yakıtın bataryaya göre son derece yüksek olan gravimetrik enerji yoğunluğundan kaynaklanmaktadır: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800"/>
        <w:gridCol w:w="3438"/>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ENERJİ KAYNAĞI</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ENERJİ YOĞUNLUĞU (Wh/kg)</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GÜÇ YOĞUNLUĞU (W/kg)</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NOTLAR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LiPo Batarya</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150–250 Wh/kg</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300–1.000 W/kg</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Hızlı deşarj; kısa ömür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Li-S Batarya (gelişmekte)</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300–400 Wh/kg</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200–500 W/kg</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Deneysel; düşük döngü ömrü</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Benzin/Avgas</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~12.000 Wh/kg</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 (yakıt)</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~50× bataryadan yoğun</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Jet-A1 / JP-8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~11.800 Wh/kg</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 (yakıt)</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Ağır yakıt; güvenli depolama</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Hidrojen (LH2)</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~33.000 Wh/kg</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N/A (yakıt)</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Depolama sorunu; İHA uygulaması sınırlı</w:t>
            </w:r>
          </w:p>
        </w:tc>
      </w:tr>
    </w:tbl>
    <w:p>
      <w:pPr>
        <w:spacing w:after="160" w:before="80"/>
      </w:pPr>
      <w:r>
        <w:rPr>
          <w:rFonts w:ascii="Arial" w:cs="Arial" w:eastAsia="Arial" w:hAnsi="Arial"/>
          <w:i/>
          <w:iCs/>
          <w:color w:val="555555"/>
          <w:sz w:val="19"/>
          <w:szCs w:val="19"/>
        </w:rPr>
        <w:t xml:space="preserve">Tablo 5.1 – Enerji Kaynaklarının Gravimetrik Karşılaştırması</w:t>
      </w:r>
    </w:p>
    <w:p>
      <w:pPr>
        <w:spacing w:after="80" w:before="200"/>
      </w:pPr>
      <w:r>
        <w:rPr>
          <w:rFonts w:ascii="Arial" w:cs="Arial" w:eastAsia="Arial" w:hAnsi="Arial"/>
          <w:b/>
          <w:bCs/>
          <w:color w:val="2E75B6"/>
          <w:sz w:val="24"/>
          <w:szCs w:val="24"/>
        </w:rPr>
        <w:t xml:space="preserve">5.2 Uçuş Süresi ve Menzil Avantajları</w:t>
      </w:r>
    </w:p>
    <w:p>
      <w:pPr>
        <w:spacing w:after="120" w:before="60"/>
        <w:jc w:val="both"/>
      </w:pPr>
      <w:r>
        <w:rPr>
          <w:rFonts w:ascii="Arial" w:cs="Arial" w:eastAsia="Arial" w:hAnsi="Arial"/>
          <w:sz w:val="22"/>
          <w:szCs w:val="22"/>
        </w:rPr>
        <w:t xml:space="preserve">Bilimsel araştırmalar, hibrit sistemlerin performans üstünlüğünü net biçimde ortaya koymaktadır. Araştırmalar, hibrit güç ünitesinin (HPU) kütlesinin belirli bir eşik değeri (7.3 kg) aştığında batarya tabanlı sistemlere (BPU) kıyasla belirgin endurance avantajı sağladığını göstermektedir.</w:t>
      </w:r>
    </w:p>
    <w:p>
      <w:pPr>
        <w:pBdr>
          <w:top w:val="single" w:color="2E75B6" w:sz="4"/>
          <w:bottom w:val="single" w:color="2E75B6" w:sz="4"/>
          <w:left w:val="single" w:color="2E75B6" w:sz="12"/>
          <w:right w:val="single" w:color="2E75B6" w:sz="4"/>
        </w:pBdr>
        <w:shd w:fill="EBF3FB" w:val="clear"/>
        <w:spacing w:after="80" w:before="80"/>
        <w:ind w:left="360" w:right="360"/>
      </w:pPr>
      <w:r>
        <w:rPr>
          <w:rFonts w:ascii="Arial" w:cs="Arial" w:eastAsia="Arial" w:hAnsi="Arial"/>
          <w:color w:val="1F4E79"/>
          <w:sz w:val="20"/>
          <w:szCs w:val="20"/>
        </w:rPr>
        <w:t xml:space="preserve">Deneysel bulgu (JSDEWES, 2024): Hibrit sistem entegrasyonu uçuş süresini 470 dakikadan 970 dakikaya (%106 artış) yükseltmiştir. Bu, pratik İHA uygulamalarında hibrit sistemlerin etkinliğini teyit etmektedir.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2038"/>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PARAMETRE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SAF ELEKTRİK (LiPo)</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HİBRİT (ICE+Gen)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İYİLEŞME</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NOTLAR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Tipik uçuş süresi (20 kg MTOW)</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20–45 dk</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90–180 dk</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+3–4×</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Görev profiline bağlı</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Menzil (kruvaziyerde)</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20–40 km</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80–400 km</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+4–10×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Yakıt kapasitesi ile doğru orantılı</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Yük kapasitesi artışı</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Baz</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+%30–60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Anlamlı</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Batarya ağırlığı boşaltılır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Yeniden güçlendirme süresi</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45–90 dk (şarj)</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&lt;2 dk (yakıt ikmal)</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Kritik avantaj</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Operasyonel süreklilik</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Soğukta performans</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Zayıf (batarya kapasitesi düşer)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İyi (ICE etkisi az)</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Güvenilirlik</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Yüksek rakım + soğuk iklim</w:t>
            </w:r>
          </w:p>
        </w:tc>
      </w:tr>
    </w:tbl>
    <w:p>
      <w:pPr>
        <w:spacing w:after="160" w:before="80"/>
      </w:pPr>
      <w:r>
        <w:rPr>
          <w:rFonts w:ascii="Arial" w:cs="Arial" w:eastAsia="Arial" w:hAnsi="Arial"/>
          <w:i/>
          <w:iCs/>
          <w:color w:val="555555"/>
          <w:sz w:val="19"/>
          <w:szCs w:val="19"/>
        </w:rPr>
        <w:t xml:space="preserve">Tablo 5.2 – Saf Elektrik vs. Hibrit Sistem Performans Karşılaştırması</w:t>
      </w:r>
    </w:p>
    <w:p>
      <w:pPr>
        <w:spacing w:after="80" w:before="200"/>
      </w:pPr>
      <w:r>
        <w:rPr>
          <w:rFonts w:ascii="Arial" w:cs="Arial" w:eastAsia="Arial" w:hAnsi="Arial"/>
          <w:b/>
          <w:bCs/>
          <w:color w:val="2E75B6"/>
          <w:sz w:val="24"/>
          <w:szCs w:val="24"/>
        </w:rPr>
        <w:t xml:space="preserve">5.3 Yangın Söndürme İHA'sı İçin Özel Değerlendirme</w:t>
      </w:r>
    </w:p>
    <w:p>
      <w:pPr>
        <w:spacing w:after="120" w:before="60"/>
        <w:jc w:val="both"/>
      </w:pPr>
      <w:r>
        <w:rPr>
          <w:rFonts w:ascii="Arial" w:cs="Arial" w:eastAsia="Arial" w:hAnsi="Arial"/>
          <w:sz w:val="22"/>
          <w:szCs w:val="22"/>
        </w:rPr>
        <w:t xml:space="preserve">CDR-MW-149 gibi yangın söndürme İHA'ları için hibrit sistemlerin avantajları özellikle belirgindir:</w:t>
      </w:r>
    </w:p>
    <w:p>
      <w:pPr>
        <w:pStyle w:val="ListParagraph"/>
        <w:numPr>
          <w:ilvl w:val="0"/>
          <w:numId w:val="2"/>
        </w:numPr>
        <w:spacing w:after="40" w:before="40"/>
      </w:pPr>
      <w:r>
        <w:rPr>
          <w:rFonts w:ascii="Arial" w:cs="Arial" w:eastAsia="Arial" w:hAnsi="Arial"/>
          <w:sz w:val="22"/>
          <w:szCs w:val="22"/>
        </w:rPr>
        <w:t xml:space="preserve">Ağır yük kapasitesi: Su/retardant tankı + aviyonik + sensörler = yüksek payload gereksinimi</w:t>
      </w:r>
    </w:p>
    <w:p>
      <w:pPr>
        <w:pStyle w:val="ListParagraph"/>
        <w:numPr>
          <w:ilvl w:val="0"/>
          <w:numId w:val="2"/>
        </w:numPr>
        <w:spacing w:after="40" w:before="40"/>
      </w:pPr>
      <w:r>
        <w:rPr>
          <w:rFonts w:ascii="Arial" w:cs="Arial" w:eastAsia="Arial" w:hAnsi="Arial"/>
          <w:sz w:val="22"/>
          <w:szCs w:val="22"/>
        </w:rPr>
        <w:t xml:space="preserve">Uzun loiter süresi: Yangın sahası üzerinde bekleme, hibrit sistemin en güçlü olduğu senaryo</w:t>
      </w:r>
    </w:p>
    <w:p>
      <w:pPr>
        <w:pStyle w:val="ListParagraph"/>
        <w:numPr>
          <w:ilvl w:val="0"/>
          <w:numId w:val="2"/>
        </w:numPr>
        <w:spacing w:after="40" w:before="40"/>
      </w:pPr>
      <w:r>
        <w:rPr>
          <w:rFonts w:ascii="Arial" w:cs="Arial" w:eastAsia="Arial" w:hAnsi="Arial"/>
          <w:sz w:val="22"/>
          <w:szCs w:val="22"/>
        </w:rPr>
        <w:t xml:space="preserve">Operasyonel süreklilik: Hızlı yakıt ikmal ile aralıksız uçuş görevi</w:t>
      </w:r>
    </w:p>
    <w:p>
      <w:pPr>
        <w:pStyle w:val="ListParagraph"/>
        <w:numPr>
          <w:ilvl w:val="0"/>
          <w:numId w:val="2"/>
        </w:numPr>
        <w:spacing w:after="40" w:before="40"/>
      </w:pPr>
      <w:r>
        <w:rPr>
          <w:rFonts w:ascii="Arial" w:cs="Arial" w:eastAsia="Arial" w:hAnsi="Arial"/>
          <w:sz w:val="22"/>
          <w:szCs w:val="22"/>
        </w:rPr>
        <w:t xml:space="preserve">Sıcak ortamda güvenilirlik: Yüksek ambient sıcaklıkta batarya kapasitesi düşer; ICE daha az etkilenir</w:t>
      </w:r>
    </w:p>
    <w:p>
      <w:pPr>
        <w:pStyle w:val="ListParagraph"/>
        <w:numPr>
          <w:ilvl w:val="0"/>
          <w:numId w:val="2"/>
        </w:numPr>
        <w:spacing w:after="40" w:before="40"/>
      </w:pPr>
      <w:r>
        <w:rPr>
          <w:rFonts w:ascii="Arial" w:cs="Arial" w:eastAsia="Arial" w:hAnsi="Arial"/>
          <w:sz w:val="22"/>
          <w:szCs w:val="22"/>
        </w:rPr>
        <w:t xml:space="preserve">Yedek enerji: Batarya tamponu, ICE arızasında güvenli iniş için enerji sağlar</w:t>
      </w:r>
    </w:p>
    <w:p>
      <w:r>
        <w:br w:type="page"/>
      </w:r>
    </w:p>
    <w:p>
      <w:pPr>
        <w:pStyle w:val="Heading1"/>
      </w:pPr>
      <w:r>
        <w:rPr>
          <w:b/>
          <w:bCs/>
        </w:rPr>
        <w:t xml:space="preserve">6. ENTEGRASYON ZORLUKLARI: TERMAL, NVH VE SOĞUTMA</w:t>
      </w:r>
    </w:p>
    <w:p>
      <w:pPr>
        <w:spacing w:after="80" w:before="200"/>
      </w:pPr>
      <w:r>
        <w:rPr>
          <w:rFonts w:ascii="Arial" w:cs="Arial" w:eastAsia="Arial" w:hAnsi="Arial"/>
          <w:b/>
          <w:bCs/>
          <w:color w:val="2E75B6"/>
          <w:sz w:val="24"/>
          <w:szCs w:val="24"/>
        </w:rPr>
        <w:t xml:space="preserve">6.1 Termal Yönetim</w:t>
      </w:r>
    </w:p>
    <w:p>
      <w:pPr>
        <w:spacing w:after="120" w:before="60"/>
        <w:jc w:val="both"/>
      </w:pPr>
      <w:r>
        <w:rPr>
          <w:rFonts w:ascii="Arial" w:cs="Arial" w:eastAsia="Arial" w:hAnsi="Arial"/>
          <w:sz w:val="22"/>
          <w:szCs w:val="22"/>
        </w:rPr>
        <w:t xml:space="preserve">Termal yönetim, küçük formlu hibrit İHA güç sistemlerinde en kritik mühendislik zorluğudur. Yüksek güç yoğunluklu bileşenler ısıyı çok küçük yüzeylerden atmak zorundadır; %5'lik dönüşüm kaybı bile aşırı ısınmaya yol açabilir.</w:t>
      </w:r>
    </w:p>
    <w:p>
      <w:pPr>
        <w:pStyle w:val="ListParagraph"/>
        <w:numPr>
          <w:ilvl w:val="0"/>
          <w:numId w:val="2"/>
        </w:numPr>
        <w:spacing w:after="40" w:before="40"/>
      </w:pPr>
      <w:r>
        <w:rPr>
          <w:rFonts w:ascii="Arial" w:cs="Arial" w:eastAsia="Arial" w:hAnsi="Arial"/>
          <w:sz w:val="22"/>
          <w:szCs w:val="22"/>
        </w:rPr>
        <w:t xml:space="preserve">Motor ısısı: 2-strok motorlarda silindir kapağı 200–300°C'ye ulaşabilir; hava akışı tasarımı kritiktir</w:t>
      </w:r>
    </w:p>
    <w:p>
      <w:pPr>
        <w:pStyle w:val="ListParagraph"/>
        <w:numPr>
          <w:ilvl w:val="0"/>
          <w:numId w:val="2"/>
        </w:numPr>
        <w:spacing w:after="40" w:before="40"/>
      </w:pPr>
      <w:r>
        <w:rPr>
          <w:rFonts w:ascii="Arial" w:cs="Arial" w:eastAsia="Arial" w:hAnsi="Arial"/>
          <w:sz w:val="22"/>
          <w:szCs w:val="22"/>
        </w:rPr>
        <w:t xml:space="preserve">Jeneratör ısısı: Sürekli operasyonda %4–10 ısıl kayıp → aktif soğutma gerektirir</w:t>
      </w:r>
    </w:p>
    <w:p>
      <w:pPr>
        <w:pStyle w:val="ListParagraph"/>
        <w:numPr>
          <w:ilvl w:val="0"/>
          <w:numId w:val="2"/>
        </w:numPr>
        <w:spacing w:after="40" w:before="40"/>
      </w:pPr>
      <w:r>
        <w:rPr>
          <w:rFonts w:ascii="Arial" w:cs="Arial" w:eastAsia="Arial" w:hAnsi="Arial"/>
          <w:sz w:val="22"/>
          <w:szCs w:val="22"/>
        </w:rPr>
        <w:t xml:space="preserve">DC-DC dönüştürücü: Güç elektroniği bileşenleri 80–120°C max. sıcaklık limitine sahiptir</w:t>
      </w:r>
    </w:p>
    <w:p>
      <w:pPr>
        <w:pStyle w:val="ListParagraph"/>
        <w:numPr>
          <w:ilvl w:val="0"/>
          <w:numId w:val="2"/>
        </w:numPr>
        <w:spacing w:after="40" w:before="40"/>
      </w:pPr>
      <w:r>
        <w:rPr>
          <w:rFonts w:ascii="Arial" w:cs="Arial" w:eastAsia="Arial" w:hAnsi="Arial"/>
          <w:sz w:val="22"/>
          <w:szCs w:val="22"/>
        </w:rPr>
        <w:t xml:space="preserve">Batarya termal yönetimi: LiPo hücreleri 25–45°C ideal aralıkta çalışır; aşırı ısı ömrü azaltır</w:t>
      </w:r>
    </w:p>
    <w:p>
      <w:pPr>
        <w:spacing w:after="120" w:before="60"/>
        <w:jc w:val="both"/>
      </w:pPr>
      <w:r>
        <w:rPr>
          <w:rFonts w:ascii="Arial" w:cs="Arial" w:eastAsia="Arial" w:hAnsi="Arial"/>
          <w:sz w:val="22"/>
          <w:szCs w:val="22"/>
        </w:rPr>
        <w:t xml:space="preserve">Pratik soğutma çözümleri:</w:t>
      </w:r>
    </w:p>
    <w:p>
      <w:pPr>
        <w:pStyle w:val="ListParagraph"/>
        <w:numPr>
          <w:ilvl w:val="0"/>
          <w:numId w:val="2"/>
        </w:numPr>
        <w:spacing w:after="40" w:before="40"/>
      </w:pPr>
      <w:r>
        <w:rPr>
          <w:rFonts w:ascii="Arial" w:cs="Arial" w:eastAsia="Arial" w:hAnsi="Arial"/>
          <w:sz w:val="22"/>
          <w:szCs w:val="22"/>
        </w:rPr>
        <w:t xml:space="preserve">Pasif kanatçıklar (heat fins): Silindir kapağı ve doğrultucu üzerine entegre; ağırlık bedelsiz soğutma</w:t>
      </w:r>
    </w:p>
    <w:p>
      <w:pPr>
        <w:pStyle w:val="ListParagraph"/>
        <w:numPr>
          <w:ilvl w:val="0"/>
          <w:numId w:val="2"/>
        </w:numPr>
        <w:spacing w:after="40" w:before="40"/>
      </w:pPr>
      <w:r>
        <w:rPr>
          <w:rFonts w:ascii="Arial" w:cs="Arial" w:eastAsia="Arial" w:hAnsi="Arial"/>
          <w:sz w:val="22"/>
          <w:szCs w:val="22"/>
        </w:rPr>
        <w:t xml:space="preserve">Pervane rüzgarı (propwash) yönlendirmesi: Rotor hava akışının motor üzerine kanalize edilmesi</w:t>
      </w:r>
    </w:p>
    <w:p>
      <w:pPr>
        <w:pStyle w:val="ListParagraph"/>
        <w:numPr>
          <w:ilvl w:val="0"/>
          <w:numId w:val="2"/>
        </w:numPr>
        <w:spacing w:after="40" w:before="40"/>
      </w:pPr>
      <w:r>
        <w:rPr>
          <w:rFonts w:ascii="Arial" w:cs="Arial" w:eastAsia="Arial" w:hAnsi="Arial"/>
          <w:sz w:val="22"/>
          <w:szCs w:val="22"/>
        </w:rPr>
        <w:t xml:space="preserve">Zorlamalı hava soğutması: Motor miline bağlı santrifüj fan; devir bağımlı etkin soğutma</w:t>
      </w:r>
    </w:p>
    <w:p>
      <w:pPr>
        <w:pStyle w:val="ListParagraph"/>
        <w:numPr>
          <w:ilvl w:val="0"/>
          <w:numId w:val="2"/>
        </w:numPr>
        <w:spacing w:after="40" w:before="40"/>
      </w:pPr>
      <w:r>
        <w:rPr>
          <w:rFonts w:ascii="Arial" w:cs="Arial" w:eastAsia="Arial" w:hAnsi="Arial"/>
          <w:sz w:val="22"/>
          <w:szCs w:val="22"/>
        </w:rPr>
        <w:t xml:space="preserve">Sıvı soğutma döngüsü: TOW288 ve UAVHE modelleri; ağırlık pahasına en etkin çözüm</w:t>
      </w:r>
    </w:p>
    <w:p>
      <w:pPr>
        <w:pStyle w:val="ListParagraph"/>
        <w:numPr>
          <w:ilvl w:val="0"/>
          <w:numId w:val="2"/>
        </w:numPr>
        <w:spacing w:after="40" w:before="40"/>
      </w:pPr>
      <w:r>
        <w:rPr>
          <w:rFonts w:ascii="Arial" w:cs="Arial" w:eastAsia="Arial" w:hAnsi="Arial"/>
          <w:sz w:val="22"/>
          <w:szCs w:val="22"/>
        </w:rPr>
        <w:t xml:space="preserve">Faz geçişli malzemeler (PCM): Kritik bileşenler için termal tampon; havacılık uygulamalarında gelişmekte</w:t>
      </w:r>
    </w:p>
    <w:p>
      <w:pPr>
        <w:pBdr>
          <w:top w:val="single" w:color="2E75B6" w:sz="4"/>
          <w:bottom w:val="single" w:color="2E75B6" w:sz="4"/>
          <w:left w:val="single" w:color="2E75B6" w:sz="12"/>
          <w:right w:val="single" w:color="2E75B6" w:sz="4"/>
        </w:pBdr>
        <w:shd w:fill="EBF3FB" w:val="clear"/>
        <w:spacing w:after="80" w:before="80"/>
        <w:ind w:left="360" w:right="360"/>
      </w:pPr>
      <w:r>
        <w:rPr>
          <w:rFonts w:ascii="Arial" w:cs="Arial" w:eastAsia="Arial" w:hAnsi="Arial"/>
          <w:color w:val="1F4E79"/>
          <w:sz w:val="20"/>
          <w:szCs w:val="20"/>
        </w:rPr>
        <w:t xml:space="preserve">Kritik Tasarım Notu: Soğutma sistemi tasarımı ihmal edilirse, güç elektroniği ömrü öngörülenin %30–50'sine düşebilir. Termal simülasyon (CFD) CDR aşamasında zorunludur.</w:t>
      </w:r>
    </w:p>
    <w:p>
      <w:pPr>
        <w:spacing w:after="80" w:before="200"/>
      </w:pPr>
      <w:r>
        <w:rPr>
          <w:rFonts w:ascii="Arial" w:cs="Arial" w:eastAsia="Arial" w:hAnsi="Arial"/>
          <w:b/>
          <w:bCs/>
          <w:color w:val="2E75B6"/>
          <w:sz w:val="24"/>
          <w:szCs w:val="24"/>
        </w:rPr>
        <w:t xml:space="preserve">6.2 Gürültü, Vibrasyon ve Sertlik (NVH)</w:t>
      </w:r>
    </w:p>
    <w:p>
      <w:pPr>
        <w:spacing w:after="120" w:before="60"/>
        <w:jc w:val="both"/>
      </w:pPr>
      <w:r>
        <w:rPr>
          <w:rFonts w:ascii="Arial" w:cs="Arial" w:eastAsia="Arial" w:hAnsi="Arial"/>
          <w:sz w:val="22"/>
          <w:szCs w:val="22"/>
        </w:rPr>
        <w:t xml:space="preserve">İçten yanmalı motorların mekanik eksitasyon frekansları, İHA yapısıyla rezonansa girerse yapısal yorulma ve aviyonik arızasına yol açar. NVH yönetimi dört katmanda ele alınmalıdır: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338"/>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NVH KAYNAĞI</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FREKANs ARALIĞI</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ETKİ</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ÇÖZÜM</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Motor yanma darbesi</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100–300 Hz</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Yapısal uyarım; fatigue</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Lastik-metal izolasyon yastıkları; viskoz dampfer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Rotor dengesizliği</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50–200 Hz</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Kamera gimbal bozulması</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Hassas balans; karbon fiber pervane</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Jeneratör çıkış gürültüsü</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EMI: 1–100 MHz</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Aviyonik parazit</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EMI filtresi; topraklama; ekranlı kablo</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Egzoz akustik emisyonu</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500–3000 Hz</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Akustik imza; gürültü</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Titanyum susturucu; Sky Power patentli muffler</w:t>
            </w:r>
          </w:p>
        </w:tc>
      </w:tr>
    </w:tbl>
    <w:p>
      <w:pPr>
        <w:spacing w:after="120" w:before="80"/>
      </w:pPr>
      <w:r>
        <w:rPr>
          <w:rFonts w:ascii="Arial" w:cs="Arial" w:eastAsia="Arial" w:hAnsi="Arial"/>
          <w:i/>
          <w:iCs/>
          <w:color w:val="555555"/>
          <w:sz w:val="19"/>
          <w:szCs w:val="19"/>
        </w:rPr>
        <w:t xml:space="preserve">Tablo 6.1 – NVH Kaynakları ve Azaltma Stratejileri</w:t>
      </w:r>
    </w:p>
    <w:p>
      <w:pPr>
        <w:pStyle w:val="ListParagraph"/>
        <w:numPr>
          <w:ilvl w:val="0"/>
          <w:numId w:val="2"/>
        </w:numPr>
        <w:spacing w:after="40" w:before="40"/>
      </w:pPr>
      <w:r>
        <w:rPr>
          <w:rFonts w:ascii="Arial" w:cs="Arial" w:eastAsia="Arial" w:hAnsi="Arial"/>
          <w:sz w:val="22"/>
          <w:szCs w:val="22"/>
        </w:rPr>
        <w:t xml:space="preserve">Suter TOA288/TOA330'un çift karşıt silindir mimarisi primer kuvvetleri sıfırlar — NVH avantajı</w:t>
      </w:r>
    </w:p>
    <w:p>
      <w:pPr>
        <w:pStyle w:val="ListParagraph"/>
        <w:numPr>
          <w:ilvl w:val="0"/>
          <w:numId w:val="2"/>
        </w:numPr>
        <w:spacing w:after="40" w:before="40"/>
      </w:pPr>
      <w:r>
        <w:rPr>
          <w:rFonts w:ascii="Arial" w:cs="Arial" w:eastAsia="Arial" w:hAnsi="Arial"/>
          <w:sz w:val="22"/>
          <w:szCs w:val="22"/>
        </w:rPr>
        <w:t xml:space="preserve">Rotron Wankel motor: Rotatif hareket; salınım kuvveti yok — doğal olarak düşük vibrasyon</w:t>
      </w:r>
    </w:p>
    <w:p>
      <w:pPr>
        <w:pStyle w:val="ListParagraph"/>
        <w:numPr>
          <w:ilvl w:val="0"/>
          <w:numId w:val="2"/>
        </w:numPr>
        <w:spacing w:after="40" w:before="40"/>
      </w:pPr>
      <w:r>
        <w:rPr>
          <w:rFonts w:ascii="Arial" w:cs="Arial" w:eastAsia="Arial" w:hAnsi="Arial"/>
          <w:sz w:val="22"/>
          <w:szCs w:val="22"/>
        </w:rPr>
        <w:t xml:space="preserve">Yay-dampfer motor montajı: Kritik bileşen. Sertlik (k) ve sönüm oranı (ζ) frekans analizine göre seçilmeli</w:t>
      </w:r>
    </w:p>
    <w:p>
      <w:pPr>
        <w:spacing w:after="80" w:before="200"/>
      </w:pPr>
      <w:r>
        <w:rPr>
          <w:rFonts w:ascii="Arial" w:cs="Arial" w:eastAsia="Arial" w:hAnsi="Arial"/>
          <w:b/>
          <w:bCs/>
          <w:color w:val="2E75B6"/>
          <w:sz w:val="24"/>
          <w:szCs w:val="24"/>
        </w:rPr>
        <w:t xml:space="preserve">6.3 Jeneratör Soğutma Gereksinimleri</w:t>
      </w:r>
    </w:p>
    <w:p>
      <w:pPr>
        <w:spacing w:after="120" w:before="60"/>
        <w:jc w:val="both"/>
      </w:pPr>
      <w:r>
        <w:rPr>
          <w:rFonts w:ascii="Arial" w:cs="Arial" w:eastAsia="Arial" w:hAnsi="Arial"/>
          <w:sz w:val="22"/>
          <w:szCs w:val="22"/>
        </w:rPr>
        <w:t xml:space="preserve">Kalıcı mıknatıslı senkron jeneratörler (PMSG) yüksek güç yoğunluklu olup termal disipasyon kritik bir tasarım parametresidir:</w:t>
      </w:r>
    </w:p>
    <w:p>
      <w:pPr>
        <w:pStyle w:val="ListParagraph"/>
        <w:numPr>
          <w:ilvl w:val="0"/>
          <w:numId w:val="2"/>
        </w:numPr>
        <w:spacing w:after="40" w:before="40"/>
      </w:pPr>
      <w:r>
        <w:rPr>
          <w:rFonts w:ascii="Arial" w:cs="Arial" w:eastAsia="Arial" w:hAnsi="Arial"/>
          <w:sz w:val="22"/>
          <w:szCs w:val="22"/>
        </w:rPr>
        <w:t xml:space="preserve">Hava soğutmalı PMSG (5–20 kW): Motor egzozu ve pervane rüzgarından yararlanır; 10 kW altında yeterli</w:t>
      </w:r>
    </w:p>
    <w:p>
      <w:pPr>
        <w:pStyle w:val="ListParagraph"/>
        <w:numPr>
          <w:ilvl w:val="0"/>
          <w:numId w:val="2"/>
        </w:numPr>
        <w:spacing w:after="40" w:before="40"/>
      </w:pPr>
      <w:r>
        <w:rPr>
          <w:rFonts w:ascii="Arial" w:cs="Arial" w:eastAsia="Arial" w:hAnsi="Arial"/>
          <w:sz w:val="22"/>
          <w:szCs w:val="22"/>
        </w:rPr>
        <w:t xml:space="preserve">Yarı-kapalı-döngü hava soğutması (20–50 kW): Kanalize hava akışı; ek boru ve damper gerektirir</w:t>
      </w:r>
    </w:p>
    <w:p>
      <w:pPr>
        <w:pStyle w:val="ListParagraph"/>
        <w:numPr>
          <w:ilvl w:val="0"/>
          <w:numId w:val="2"/>
        </w:numPr>
        <w:spacing w:after="40" w:before="40"/>
      </w:pPr>
      <w:r>
        <w:rPr>
          <w:rFonts w:ascii="Arial" w:cs="Arial" w:eastAsia="Arial" w:hAnsi="Arial"/>
          <w:sz w:val="22"/>
          <w:szCs w:val="22"/>
        </w:rPr>
        <w:t xml:space="preserve">Sıvı soğutmalı PMSG (50+ kW): En güvenilir; ek ağırlık (soğutma pompası, radyatör: 1–3 kg)</w:t>
      </w:r>
    </w:p>
    <w:p>
      <w:pPr>
        <w:pStyle w:val="ListParagraph"/>
        <w:numPr>
          <w:ilvl w:val="0"/>
          <w:numId w:val="2"/>
        </w:numPr>
        <w:spacing w:after="40" w:before="40"/>
      </w:pPr>
      <w:r>
        <w:rPr>
          <w:rFonts w:ascii="Arial" w:cs="Arial" w:eastAsia="Arial" w:hAnsi="Arial"/>
          <w:sz w:val="22"/>
          <w:szCs w:val="22"/>
        </w:rPr>
        <w:t xml:space="preserve">Plettenberg NOVA/ORBIT generatörleri: 500W–15 kW; COTS; IP67; MIL-STD 810H — entegrasyon hazır</w:t>
      </w:r>
    </w:p>
    <w:p>
      <w:pPr>
        <w:spacing w:after="80" w:before="200"/>
      </w:pPr>
      <w:r>
        <w:rPr>
          <w:rFonts w:ascii="Arial" w:cs="Arial" w:eastAsia="Arial" w:hAnsi="Arial"/>
          <w:b/>
          <w:bCs/>
          <w:color w:val="2E75B6"/>
          <w:sz w:val="24"/>
          <w:szCs w:val="24"/>
        </w:rPr>
        <w:t xml:space="preserve">6.4 Elektromanyetik Uyumluluk (EMC)</w:t>
      </w:r>
    </w:p>
    <w:p>
      <w:pPr>
        <w:spacing w:after="120" w:before="60"/>
        <w:jc w:val="both"/>
      </w:pPr>
      <w:r>
        <w:rPr>
          <w:rFonts w:ascii="Arial" w:cs="Arial" w:eastAsia="Arial" w:hAnsi="Arial"/>
          <w:sz w:val="22"/>
          <w:szCs w:val="22"/>
        </w:rPr>
        <w:t xml:space="preserve">ICE ateşleme sistemi ve güç elektroniği kaynaklı EMI, GPS, Telemetri ve RF iletişim sistemlerini ciddi biçimde etkileyebilir:</w:t>
      </w:r>
    </w:p>
    <w:p>
      <w:pPr>
        <w:pStyle w:val="ListParagraph"/>
        <w:numPr>
          <w:ilvl w:val="0"/>
          <w:numId w:val="2"/>
        </w:numPr>
        <w:spacing w:after="40" w:before="40"/>
      </w:pPr>
      <w:r>
        <w:rPr>
          <w:rFonts w:ascii="Arial" w:cs="Arial" w:eastAsia="Arial" w:hAnsi="Arial"/>
          <w:sz w:val="22"/>
          <w:szCs w:val="22"/>
        </w:rPr>
        <w:t xml:space="preserve">Ateşleme sistemi radiated EMI: 30–1000 MHz → ferrit boncuk + ekranlı kablo ile azaltma</w:t>
      </w:r>
    </w:p>
    <w:p>
      <w:pPr>
        <w:pStyle w:val="ListParagraph"/>
        <w:numPr>
          <w:ilvl w:val="0"/>
          <w:numId w:val="2"/>
        </w:numPr>
        <w:spacing w:after="40" w:before="40"/>
      </w:pPr>
      <w:r>
        <w:rPr>
          <w:rFonts w:ascii="Arial" w:cs="Arial" w:eastAsia="Arial" w:hAnsi="Arial"/>
          <w:sz w:val="22"/>
          <w:szCs w:val="22"/>
        </w:rPr>
        <w:t xml:space="preserve">DC-DC dönüştürücü switching gürültüsü: EMI filtresi zorunlu (CISPR 25 veya MIL-STD-461)</w:t>
      </w:r>
    </w:p>
    <w:p>
      <w:pPr>
        <w:pStyle w:val="ListParagraph"/>
        <w:numPr>
          <w:ilvl w:val="0"/>
          <w:numId w:val="2"/>
        </w:numPr>
        <w:spacing w:after="40" w:before="40"/>
      </w:pPr>
      <w:r>
        <w:rPr>
          <w:rFonts w:ascii="Arial" w:cs="Arial" w:eastAsia="Arial" w:hAnsi="Arial"/>
          <w:sz w:val="22"/>
          <w:szCs w:val="22"/>
        </w:rPr>
        <w:t xml:space="preserve">Güç kaynağı gürültüsü yalıtımı: GPS + telemetri için ayrı düzenlenmiş regülatör</w:t>
      </w:r>
    </w:p>
    <w:p>
      <w:pPr>
        <w:pStyle w:val="ListParagraph"/>
        <w:numPr>
          <w:ilvl w:val="0"/>
          <w:numId w:val="2"/>
        </w:numPr>
        <w:spacing w:after="40" w:before="40"/>
      </w:pPr>
      <w:r>
        <w:rPr>
          <w:rFonts w:ascii="Arial" w:cs="Arial" w:eastAsia="Arial" w:hAnsi="Arial"/>
          <w:sz w:val="22"/>
          <w:szCs w:val="22"/>
        </w:rPr>
        <w:t xml:space="preserve">Topraklama tasarımı: Tek-nokta topraklama (star grounding) — döngüsel akım önleme</w:t>
      </w:r>
    </w:p>
    <w:p>
      <w:r>
        <w:br w:type="page"/>
      </w:r>
    </w:p>
    <w:p>
      <w:pPr>
        <w:pStyle w:val="Heading1"/>
      </w:pPr>
      <w:r>
        <w:rPr>
          <w:b/>
          <w:bCs/>
        </w:rPr>
        <w:t xml:space="preserve">7. PROJE GEREKSİNİMLERİ İÇİN ÖNERİLEN KOMBİNASYONLAR</w:t>
      </w:r>
    </w:p>
    <w:p>
      <w:pPr>
        <w:spacing w:after="120" w:before="60"/>
        <w:jc w:val="both"/>
      </w:pPr>
      <w:r>
        <w:rPr>
          <w:rFonts w:ascii="Arial" w:cs="Arial" w:eastAsia="Arial" w:hAnsi="Arial"/>
          <w:sz w:val="22"/>
          <w:szCs w:val="22"/>
        </w:rPr>
        <w:t xml:space="preserve">CDR-MW-149 yangın söndürme İHA'sının güç gereksinimleri (S = 4.5 m², NACA 23012, orta ağırlık sınıfı MTOW ~80–150 kg), 20–50 kW güç aralığını işaret etmektedir. Aşağıda üç öncelikli kombinasyon sunulmaktadır:</w:t>
      </w:r>
    </w:p>
    <w:p>
      <w:pPr>
        <w:spacing w:after="80" w:before="200"/>
      </w:pPr>
      <w:r>
        <w:rPr>
          <w:rFonts w:ascii="Arial" w:cs="Arial" w:eastAsia="Arial" w:hAnsi="Arial"/>
          <w:b/>
          <w:bCs/>
          <w:color w:val="2E75B6"/>
          <w:sz w:val="24"/>
          <w:szCs w:val="24"/>
        </w:rPr>
        <w:t xml:space="preserve">7.1 Birincil Öneri — Suter TOA330-APU + Plettenberg + DC-DC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BİLEŞEN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DETAYLAR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ICE + APU</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Suter TOA330-APU — 17 kW sürekli DC çıkış @ 60 VDC; direkt tahrik; benzin/HF çift yakıt</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Jeneratör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Entegre (TOA330-APU içinde); ek Plettenberg NOVA 15 kW @ destek modunda opsiyonel</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DC-DC Dönüştürücü</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60 VDC → 48 VDC step-down; SiC MOSFET tabanlı; %97+ verim; EMI filtrelemeli</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Batarya Tampon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6S LiPo (22.2V, 10–16 Ah); kalkış ve pik güç için; BMS entegre</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Yakıt</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Jet-A1 / JP-8 (ağır yakıt modu) veya benzin — SHGM lojistik uyumu</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Toplam Sistem Ağırlığı</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~14–18 kg (motor+jeneratör+ECU+montaj; dönüştürücü+batarya hariç)</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Toplam Güç Çıkışı</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17 kW sürekli; 22+ kW pik (batarya destekli)</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Güçlü Yönler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Swiss ISO 9001; düşük vibrasyon; entegre ECU; ağır yakıt desteği; 60 VDC temiz çıkış</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Zayıf Yönler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COTS olarak tek paket satışı; lojistik/spare part İsviçre'den; nispeten yüksek fiyat</w:t>
            </w:r>
          </w:p>
        </w:tc>
      </w:tr>
    </w:tbl>
    <w:p>
      <w:pPr>
        <w:spacing w:after="120" w:before="80"/>
      </w:pPr>
      <w:r>
        <w:rPr>
          <w:rFonts w:ascii="Arial" w:cs="Arial" w:eastAsia="Arial" w:hAnsi="Arial"/>
          <w:i/>
          <w:iCs/>
          <w:color w:val="555555"/>
          <w:sz w:val="19"/>
          <w:szCs w:val="19"/>
        </w:rPr>
        <w:t xml:space="preserve">Tablo 7.1 – Birincil Öneri: Suter TOA330-APU Tabanlı Sistem</w:t>
      </w:r>
    </w:p>
    <w:p>
      <w:pPr>
        <w:spacing w:after="80" w:before="200"/>
      </w:pPr>
      <w:r>
        <w:rPr>
          <w:rFonts w:ascii="Arial" w:cs="Arial" w:eastAsia="Arial" w:hAnsi="Arial"/>
          <w:b/>
          <w:bCs/>
          <w:color w:val="2E75B6"/>
          <w:sz w:val="24"/>
          <w:szCs w:val="24"/>
        </w:rPr>
        <w:t xml:space="preserve">7.2 İkincil Öneri — Sky Power SP-210/SP-275 + SGC-352 + DC-DC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BİLEŞEN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DETAYLAR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ICE Motor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Sky Power SP-210 FI TS (14 kW) veya SP-275 FI TS (18+ kW); Almanya üretimi</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Jeneratör + Kontrolcü</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SGC 352 Starter-Generator Controller; DC çıkış 48 VDC; entegre AC→DC dönüşüm</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DC-DC Dönüştürücü</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48 VDC → 24–48 VDC çoklu ray; EMI filtreli; MIL-STD-461 uyumu</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Yakıt Seçeneği</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 veya HF (sipariş bazlı); SP-275 HF versiyonu Jet-A1/JP-8 uyumlu</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Toplam Sistem Ağırlığı</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~10–15 kg (motor+SGC 352+egzoz)</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Toplam Güç Çıkışı</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7–15 kW DC; SP-275 ile ~15 kW sürekli</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FAR 33 Uyumu</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SP-110 ve SP-210 FAR 33 dayanım testini başarıyla tamamlamıştır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Güçlü Yönler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SP ailesi ortak bileşen; ölçeklenebilir (SP-110→275); güçlü servis ağı; FAR 33</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Zayıf Yönler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SP-210 çıkışı 10 kW ile sınırlı; SP-275 için veri sınırlı; 2-strok tek silindir yüksek vibrasyon</w:t>
            </w:r>
          </w:p>
        </w:tc>
      </w:tr>
    </w:tbl>
    <w:p>
      <w:pPr>
        <w:spacing w:after="120" w:before="80"/>
      </w:pPr>
      <w:r>
        <w:rPr>
          <w:rFonts w:ascii="Arial" w:cs="Arial" w:eastAsia="Arial" w:hAnsi="Arial"/>
          <w:i/>
          <w:iCs/>
          <w:color w:val="555555"/>
          <w:sz w:val="19"/>
          <w:szCs w:val="19"/>
        </w:rPr>
        <w:t xml:space="preserve">Tablo 7.2 – İkincil Öneri: Sky Power SP-210/SP-275 Tabanlı Sistem</w:t>
      </w:r>
    </w:p>
    <w:p>
      <w:pPr>
        <w:spacing w:after="80" w:before="200"/>
      </w:pPr>
      <w:r>
        <w:rPr>
          <w:rFonts w:ascii="Arial" w:cs="Arial" w:eastAsia="Arial" w:hAnsi="Arial"/>
          <w:b/>
          <w:bCs/>
          <w:color w:val="2E75B6"/>
          <w:sz w:val="24"/>
          <w:szCs w:val="24"/>
        </w:rPr>
        <w:t xml:space="preserve">7.3 Üçüncül Öneri — Rotron RT300-XE + PMSG + Aktif Dönüştürücü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BİLEŞEN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DETAYLAR</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ICE Motor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Rotron RT300-XE Wankel; 300 cc; 50 HP (37 kW); 28 kg; MAA sertifikalı</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Jeneratör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Plettenberg NOVA 15 kW PMSG veya özel 30 kW Wankel-bağlantılı PMSG</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DC-DC + Aktif Doğrultucu</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3-fazlı aktif doğrultucu; SiC MOSFET; 48–96 VDC çıkış; %97 verim</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Toplam Güç Çıkışı</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20–35 kW DC (jeneratör seçimine bağlı)</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Ağırlık (tahmini)</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~35–50 kg (motor+jeneratör+güç elektroniği)</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Güçlü Yönler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Sıfır primer dengelsizlik; yüksek güç yoğunluğu; MAA sertifikalı; düşük akustik imza</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Zayıf Yönler</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Yüksek ağırlık; Wankel apex seal bakım gerektirici; yüksek yakıt tüketimi</w:t>
            </w:r>
          </w:p>
        </w:tc>
      </w:tr>
    </w:tbl>
    <w:p>
      <w:pPr>
        <w:spacing w:after="160" w:before="80"/>
      </w:pPr>
      <w:r>
        <w:rPr>
          <w:rFonts w:ascii="Arial" w:cs="Arial" w:eastAsia="Arial" w:hAnsi="Arial"/>
          <w:i/>
          <w:iCs/>
          <w:color w:val="555555"/>
          <w:sz w:val="19"/>
          <w:szCs w:val="19"/>
        </w:rPr>
        <w:t xml:space="preserve">Tablo 7.3 – Üçüncül Öneri: Rotron RT300-XE Tabanlı Sistem</w:t>
      </w:r>
    </w:p>
    <w:p>
      <w:pPr>
        <w:spacing w:after="80" w:before="200"/>
      </w:pPr>
      <w:r>
        <w:rPr>
          <w:rFonts w:ascii="Arial" w:cs="Arial" w:eastAsia="Arial" w:hAnsi="Arial"/>
          <w:b/>
          <w:bCs/>
          <w:color w:val="2E75B6"/>
          <w:sz w:val="24"/>
          <w:szCs w:val="24"/>
        </w:rPr>
        <w:t xml:space="preserve">7.4 Öneri Değerlendirme Özet Matrisi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300"/>
        <w:gridCol w:w="1300"/>
        <w:gridCol w:w="1300"/>
        <w:gridCol w:w="1200"/>
        <w:gridCol w:w="1038"/>
      </w:tblGrid>
      <w:tr>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KOMBİNASYON</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GÜÇ (kW)</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AĞIRLIK (kg)</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YAKIT</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VERİM</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SERTİFİKA</w:t>
            </w:r>
          </w:p>
        </w:tc>
        <w:tc>
          <w:tcPr>
            <w:tcW w:type="auto" w:w="0"/>
            <w:gridSpan w:val="1"/>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ÖNCELİK</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Suter TOA330-APU</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17 DC</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14–18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ISO 9001</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 ✓</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Sky Power SP-275 GEN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10–15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13–16</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FAR 33</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Sky Power SP-210 GEN</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7–10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10–13</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FAR 33</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Rotron RT300-XE Hibrit</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20–35</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35–50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Benzin/HF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MAA</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4.</w:t>
            </w:r>
          </w:p>
        </w:tc>
      </w:tr>
      <w:tr>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UAVHE Wankel</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15–20</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12–18</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HF</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Yok</w:t>
            </w:r>
          </w:p>
        </w:tc>
        <w:tc>
          <w:tcPr>
            <w:tcW w:type="auto" w:w="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18"/>
                <w:szCs w:val="18"/>
              </w:rPr>
              <w:t xml:space="preserve">5.</w:t>
            </w:r>
          </w:p>
        </w:tc>
      </w:tr>
    </w:tbl>
    <w:p>
      <w:pPr>
        <w:spacing w:after="120" w:before="80"/>
      </w:pPr>
      <w:r>
        <w:rPr>
          <w:rFonts w:ascii="Arial" w:cs="Arial" w:eastAsia="Arial" w:hAnsi="Arial"/>
          <w:i/>
          <w:iCs/>
          <w:color w:val="555555"/>
          <w:sz w:val="19"/>
          <w:szCs w:val="19"/>
        </w:rPr>
        <w:t xml:space="preserve">Tablo 7.4 – Kombinasyon Öncelik Özeti</w:t>
      </w:r>
    </w:p>
    <w:p>
      <w:r>
        <w:br w:type="page"/>
      </w:r>
    </w:p>
    <w:p>
      <w:pPr>
        <w:pStyle w:val="Heading1"/>
      </w:pPr>
      <w:r>
        <w:rPr>
          <w:b/>
          <w:bCs/>
        </w:rPr>
        <w:t xml:space="preserve">8. SONUÇ VE TAVSİYELER</w:t>
      </w:r>
    </w:p>
    <w:p>
      <w:pPr>
        <w:spacing w:after="120" w:before="60"/>
        <w:jc w:val="both"/>
      </w:pPr>
      <w:r>
        <w:rPr>
          <w:rFonts w:ascii="Arial" w:cs="Arial" w:eastAsia="Arial" w:hAnsi="Arial"/>
          <w:sz w:val="22"/>
          <w:szCs w:val="22"/>
        </w:rPr>
        <w:t xml:space="preserve">Bu araştırma, 5–200 kW güç aralığında İHA hibrit güç sistemleri için COTS pazarını kapsamlı biçimde taramış ve CDR-MW-149 platformuna yönelik teknik değerlendirmeler sunmuştur. Temel bulgular ve tavsiyeler aşağıda özetlenmiştir:</w:t>
      </w:r>
    </w:p>
    <w:p>
      <w:pPr>
        <w:spacing w:after="80" w:before="200"/>
      </w:pPr>
      <w:r>
        <w:rPr>
          <w:rFonts w:ascii="Arial" w:cs="Arial" w:eastAsia="Arial" w:hAnsi="Arial"/>
          <w:b/>
          <w:bCs/>
          <w:color w:val="2E75B6"/>
          <w:sz w:val="24"/>
          <w:szCs w:val="24"/>
        </w:rPr>
        <w:t xml:space="preserve">8.1 Ana Bulgular</w:t>
      </w:r>
    </w:p>
    <w:p>
      <w:pPr>
        <w:pStyle w:val="ListParagraph"/>
        <w:numPr>
          <w:ilvl w:val="0"/>
          <w:numId w:val="2"/>
        </w:numPr>
        <w:spacing w:after="40" w:before="40"/>
      </w:pPr>
      <w:r>
        <w:rPr>
          <w:rFonts w:ascii="Arial" w:cs="Arial" w:eastAsia="Arial" w:hAnsi="Arial"/>
          <w:sz w:val="22"/>
          <w:szCs w:val="22"/>
        </w:rPr>
        <w:t xml:space="preserve">5–20 kW aralığında Sky Power (Almanya) baskın COTS tedarikçi konumundadır; FAR 33 test geçerliliği ve ağır yakıt seçeneği kritik avantajlar sunar.</w:t>
      </w:r>
    </w:p>
    <w:p>
      <w:pPr>
        <w:pStyle w:val="ListParagraph"/>
        <w:numPr>
          <w:ilvl w:val="0"/>
          <w:numId w:val="2"/>
        </w:numPr>
        <w:spacing w:after="40" w:before="40"/>
      </w:pPr>
      <w:r>
        <w:rPr>
          <w:rFonts w:ascii="Arial" w:cs="Arial" w:eastAsia="Arial" w:hAnsi="Arial"/>
          <w:sz w:val="22"/>
          <w:szCs w:val="22"/>
        </w:rPr>
        <w:t xml:space="preserve">20 kW civarında Suter TOA330-APU, İHA ve APU uygulamaları için en entegre ve doğrudan kullanıma hazır çözümü sunmaktadır.</w:t>
      </w:r>
    </w:p>
    <w:p>
      <w:pPr>
        <w:pStyle w:val="ListParagraph"/>
        <w:numPr>
          <w:ilvl w:val="0"/>
          <w:numId w:val="2"/>
        </w:numPr>
        <w:spacing w:after="40" w:before="40"/>
      </w:pPr>
      <w:r>
        <w:rPr>
          <w:rFonts w:ascii="Arial" w:cs="Arial" w:eastAsia="Arial" w:hAnsi="Arial"/>
          <w:sz w:val="22"/>
          <w:szCs w:val="22"/>
        </w:rPr>
        <w:t xml:space="preserve">Hibrit sistemler, eşdeğer ağırlıktaki batarya sistemlerine göre 3–4 kat daha uzun uçuş süresi ve 30–60% daha yüksek payload kapasitesi sağlamaktadır.</w:t>
      </w:r>
    </w:p>
    <w:p>
      <w:pPr>
        <w:pStyle w:val="ListParagraph"/>
        <w:numPr>
          <w:ilvl w:val="0"/>
          <w:numId w:val="2"/>
        </w:numPr>
        <w:spacing w:after="40" w:before="40"/>
      </w:pPr>
      <w:r>
        <w:rPr>
          <w:rFonts w:ascii="Arial" w:cs="Arial" w:eastAsia="Arial" w:hAnsi="Arial"/>
          <w:sz w:val="22"/>
          <w:szCs w:val="22"/>
        </w:rPr>
        <w:t xml:space="preserve">NVH, termal yönetim ve EMC; entegrasyon sürecinin en kritik mühendislik zorluklarını oluşturmaktadır.</w:t>
      </w:r>
    </w:p>
    <w:p>
      <w:pPr>
        <w:pStyle w:val="ListParagraph"/>
        <w:numPr>
          <w:ilvl w:val="0"/>
          <w:numId w:val="2"/>
        </w:numPr>
        <w:spacing w:after="40" w:before="40"/>
      </w:pPr>
      <w:r>
        <w:rPr>
          <w:rFonts w:ascii="Arial" w:cs="Arial" w:eastAsia="Arial" w:hAnsi="Arial"/>
          <w:sz w:val="22"/>
          <w:szCs w:val="22"/>
        </w:rPr>
        <w:t xml:space="preserve">Ağır yakıt (Jet-A1/JP-8) uyumluluğu, SHGM/askeri lojistik ve güvenlik gereksinimleri açısından uzun vadeli operasyonel avantaj sağlar.</w:t>
      </w:r>
    </w:p>
    <w:p>
      <w:pPr>
        <w:pStyle w:val="ListParagraph"/>
        <w:numPr>
          <w:ilvl w:val="0"/>
          <w:numId w:val="2"/>
        </w:numPr>
        <w:spacing w:after="40" w:before="40"/>
      </w:pPr>
      <w:r>
        <w:rPr>
          <w:rFonts w:ascii="Arial" w:cs="Arial" w:eastAsia="Arial" w:hAnsi="Arial"/>
          <w:sz w:val="22"/>
          <w:szCs w:val="22"/>
        </w:rPr>
        <w:t xml:space="preserve">100 kW üzeri için tam COTS çözüm yoktur; bu bantta her zaman özelleştirilmiş entegrasyon ve onay süreci gereklidir.</w:t>
      </w:r>
    </w:p>
    <w:p>
      <w:pPr>
        <w:spacing w:after="80" w:before="200"/>
      </w:pPr>
      <w:r>
        <w:rPr>
          <w:rFonts w:ascii="Arial" w:cs="Arial" w:eastAsia="Arial" w:hAnsi="Arial"/>
          <w:b/>
          <w:bCs/>
          <w:color w:val="2E75B6"/>
          <w:sz w:val="24"/>
          <w:szCs w:val="24"/>
        </w:rPr>
        <w:t xml:space="preserve">8.2 CDR-MW-149 İçin Eylem Planı</w:t>
      </w:r>
    </w:p>
    <w:p>
      <w:pPr>
        <w:pStyle w:val="ListParagraph"/>
        <w:numPr>
          <w:ilvl w:val="0"/>
          <w:numId w:val="2"/>
        </w:numPr>
        <w:spacing w:after="40" w:before="40"/>
      </w:pPr>
      <w:r>
        <w:rPr>
          <w:rFonts w:ascii="Arial" w:cs="Arial" w:eastAsia="Arial" w:hAnsi="Arial"/>
          <w:sz w:val="22"/>
          <w:szCs w:val="22"/>
        </w:rPr>
        <w:t xml:space="preserve">Adım 1: Suter TOA330-APU ile olabilirlik testi (bench test) gerçekleştirin. 17 kW DC çıkış ve ağır yakıt uyumunu doğrulayın.</w:t>
      </w:r>
    </w:p>
    <w:p>
      <w:pPr>
        <w:pStyle w:val="ListParagraph"/>
        <w:numPr>
          <w:ilvl w:val="0"/>
          <w:numId w:val="2"/>
        </w:numPr>
        <w:spacing w:after="40" w:before="40"/>
      </w:pPr>
      <w:r>
        <w:rPr>
          <w:rFonts w:ascii="Arial" w:cs="Arial" w:eastAsia="Arial" w:hAnsi="Arial"/>
          <w:sz w:val="22"/>
          <w:szCs w:val="22"/>
        </w:rPr>
        <w:t xml:space="preserve">Adım 2: Sky Power SP-210/SP-275 ile paralel değerlendirme — fiyat/performans optimizasyonu için.</w:t>
      </w:r>
    </w:p>
    <w:p>
      <w:pPr>
        <w:pStyle w:val="ListParagraph"/>
        <w:numPr>
          <w:ilvl w:val="0"/>
          <w:numId w:val="2"/>
        </w:numPr>
        <w:spacing w:after="40" w:before="40"/>
      </w:pPr>
      <w:r>
        <w:rPr>
          <w:rFonts w:ascii="Arial" w:cs="Arial" w:eastAsia="Arial" w:hAnsi="Arial"/>
          <w:sz w:val="22"/>
          <w:szCs w:val="22"/>
        </w:rPr>
        <w:t xml:space="preserve">Adım 3: Termal analiz (CFD): Motor + jeneratör + güç elektroniği birlikte modelleyin.</w:t>
      </w:r>
    </w:p>
    <w:p>
      <w:pPr>
        <w:pStyle w:val="ListParagraph"/>
        <w:numPr>
          <w:ilvl w:val="0"/>
          <w:numId w:val="2"/>
        </w:numPr>
        <w:spacing w:after="40" w:before="40"/>
      </w:pPr>
      <w:r>
        <w:rPr>
          <w:rFonts w:ascii="Arial" w:cs="Arial" w:eastAsia="Arial" w:hAnsi="Arial"/>
          <w:sz w:val="22"/>
          <w:szCs w:val="22"/>
        </w:rPr>
        <w:t xml:space="preserve">Adım 4: NVH ölçümü: Motor montaj yastığı sertliği ve sönüm katsayısını titreşim analizi ile belirleyin.</w:t>
      </w:r>
    </w:p>
    <w:p>
      <w:pPr>
        <w:pStyle w:val="ListParagraph"/>
        <w:numPr>
          <w:ilvl w:val="0"/>
          <w:numId w:val="2"/>
        </w:numPr>
        <w:spacing w:after="40" w:before="40"/>
      </w:pPr>
      <w:r>
        <w:rPr>
          <w:rFonts w:ascii="Arial" w:cs="Arial" w:eastAsia="Arial" w:hAnsi="Arial"/>
          <w:sz w:val="22"/>
          <w:szCs w:val="22"/>
        </w:rPr>
        <w:t xml:space="preserve">Adım 5: EMC uyumluluk testi: Ateşleme EMI ve DC-DC switching gürültüsünün GPS/telemetri üzerindeki etkisini ölçün.</w:t>
      </w:r>
    </w:p>
    <w:p>
      <w:pPr>
        <w:pStyle w:val="ListParagraph"/>
        <w:numPr>
          <w:ilvl w:val="0"/>
          <w:numId w:val="2"/>
        </w:numPr>
        <w:spacing w:after="40" w:before="40"/>
      </w:pPr>
      <w:r>
        <w:rPr>
          <w:rFonts w:ascii="Arial" w:cs="Arial" w:eastAsia="Arial" w:hAnsi="Arial"/>
          <w:sz w:val="22"/>
          <w:szCs w:val="22"/>
        </w:rPr>
        <w:t xml:space="preserve">Adım 6: SHGM sertifikasyon uyumluluğu: Seçilen güç sisteminin IHA-2 sınıfı gereksinimleriyle örtüşmesini belgeleyin.</w:t>
      </w:r>
    </w:p>
    <w:p>
      <w:pPr>
        <w:spacing w:after="80" w:before="200"/>
      </w:pPr>
      <w:r>
        <w:rPr>
          <w:rFonts w:ascii="Arial" w:cs="Arial" w:eastAsia="Arial" w:hAnsi="Arial"/>
          <w:b/>
          <w:bCs/>
          <w:color w:val="2E75B6"/>
          <w:sz w:val="24"/>
          <w:szCs w:val="24"/>
        </w:rPr>
        <w:t xml:space="preserve">8.3 Sonraki Araştırma Alanları</w:t>
      </w:r>
    </w:p>
    <w:p>
      <w:pPr>
        <w:pStyle w:val="ListParagraph"/>
        <w:numPr>
          <w:ilvl w:val="0"/>
          <w:numId w:val="2"/>
        </w:numPr>
        <w:spacing w:after="40" w:before="40"/>
      </w:pPr>
      <w:r>
        <w:rPr>
          <w:rFonts w:ascii="Arial" w:cs="Arial" w:eastAsia="Arial" w:hAnsi="Arial"/>
          <w:sz w:val="22"/>
          <w:szCs w:val="22"/>
        </w:rPr>
        <w:t xml:space="preserve">Enerji Yönetim Algoritmaları (EMS): ECMS veya MPC tabanlı güç bölüşümü optimizasyonu</w:t>
      </w:r>
    </w:p>
    <w:p>
      <w:pPr>
        <w:pStyle w:val="ListParagraph"/>
        <w:numPr>
          <w:ilvl w:val="0"/>
          <w:numId w:val="2"/>
        </w:numPr>
        <w:spacing w:after="40" w:before="40"/>
      </w:pPr>
      <w:r>
        <w:rPr>
          <w:rFonts w:ascii="Arial" w:cs="Arial" w:eastAsia="Arial" w:hAnsi="Arial"/>
          <w:sz w:val="22"/>
          <w:szCs w:val="22"/>
        </w:rPr>
        <w:t xml:space="preserve">Batarya teknolojisi gelişimi: Li-S (400 Wh/kg) veya solid-state piller; hibrit sistem ağırlık dengesini değiştirecektir</w:t>
      </w:r>
    </w:p>
    <w:p>
      <w:pPr>
        <w:pStyle w:val="ListParagraph"/>
        <w:numPr>
          <w:ilvl w:val="0"/>
          <w:numId w:val="2"/>
        </w:numPr>
        <w:spacing w:after="40" w:before="40"/>
      </w:pPr>
      <w:r>
        <w:rPr>
          <w:rFonts w:ascii="Arial" w:cs="Arial" w:eastAsia="Arial" w:hAnsi="Arial"/>
          <w:sz w:val="22"/>
          <w:szCs w:val="22"/>
        </w:rPr>
        <w:t xml:space="preserve">Hidrojen yakıt hücresi entegrasyonu: Uzun vadeli alternatif; şu an İHA uygulamasında 2 kW limitinde</w:t>
      </w:r>
    </w:p>
    <w:p>
      <w:pPr>
        <w:pStyle w:val="ListParagraph"/>
        <w:numPr>
          <w:ilvl w:val="0"/>
          <w:numId w:val="2"/>
        </w:numPr>
        <w:spacing w:after="40" w:before="40"/>
      </w:pPr>
      <w:r>
        <w:rPr>
          <w:rFonts w:ascii="Arial" w:cs="Arial" w:eastAsia="Arial" w:hAnsi="Arial"/>
          <w:sz w:val="22"/>
          <w:szCs w:val="22"/>
        </w:rPr>
        <w:t xml:space="preserve">Akıllı sağlık izleme (PHM): ICE arızasını tahmin eden yapay zeka destekli sistem izleme</w:t>
      </w:r>
    </w:p>
    <w:p>
      <w:pPr>
        <w:spacing w:after="100" w:before="200"/>
      </w:pPr>
      <w:r>
        <w:rPr>
          <w:color w:val="1F4E79"/>
          <w:sz w:val="22"/>
          <w:szCs w:val="22"/>
        </w:rPr>
        <w:t xml:space="preserve">─────────────────────────────────────────────────────</w:t>
      </w:r>
    </w:p>
    <w:p>
      <w:pPr>
        <w:spacing w:after="120" w:before="60"/>
        <w:jc w:val="both"/>
      </w:pPr>
      <w:r>
        <w:rPr>
          <w:rFonts w:ascii="Arial" w:cs="Arial" w:eastAsia="Arial" w:hAnsi="Arial"/>
          <w:sz w:val="22"/>
          <w:szCs w:val="22"/>
        </w:rPr>
        <w:t xml:space="preserve">Bu rapor, CDR-MW-149 projesinin hibrit güç sistemi tasarım sürecine bilimsel yöntem ve güncel COTS pazar verilerine dayalı bir teknik çerçeve sunmak amacıyla hazırlanmıştır. Nihai sistem seçimi için vendor teklifleri, bench test verileri ve SHGM mevzuat gereksinimlerinin entegre değerlendirmesi önerilmektedir.</w:t>
      </w:r>
    </w:p>
    <w:p>
      <w:pPr>
        <w:spacing w:before="120"/>
        <w:jc w:val="right"/>
      </w:pPr>
      <w:r>
        <w:rPr>
          <w:rFonts w:ascii="Arial" w:cs="Arial" w:eastAsia="Arial" w:hAnsi="Arial"/>
          <w:i/>
          <w:iCs/>
          <w:color w:val="808080"/>
          <w:sz w:val="20"/>
          <w:szCs w:val="20"/>
        </w:rPr>
        <w:t xml:space="preserve">Haziran 2026 — CDR-MW-149 Proje Ekibi</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jc w:val="center"/>
    </w:pPr>
    <w:r>
      <w:rPr>
        <w:rFonts w:ascii="Arial" w:cs="Arial" w:eastAsia="Arial" w:hAnsi="Arial"/>
        <w:color w:val="808080"/>
        <w:sz w:val="18"/>
        <w:szCs w:val="18"/>
      </w:rPr>
      <w:t xml:space="preserve">Haziran 2026  |  Sayfa </w:t>
    </w:r>
    <w:r>
      <w:rPr>
        <w:rFonts w:ascii="Arial" w:cs="Arial" w:eastAsia="Arial" w:hAnsi="Arial"/>
        <w:color w:val="808080"/>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Arial" w:cs="Arial" w:eastAsia="Arial" w:hAnsi="Arial"/>
        <w:i/>
        <w:iCs/>
        <w:color w:val="1F4E79"/>
        <w:sz w:val="18"/>
        <w:szCs w:val="18"/>
      </w:rPr>
      <w:t xml:space="preserve">İHA Hibrit Güç Sistemi Teknik Araştırma Raporu — CDR-MW-149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2026-06-06T10:06:24.753Z</dcterms:created>
  <dcterms:modified xsi:type="dcterms:W3CDTF">2026-06-06T10:06:24.764Z</dcterms:modified>
</cp:coreProperties>
</file>

<file path=docProps/custom.xml><?xml version="1.0" encoding="utf-8"?>
<Properties xmlns="http://schemas.openxmlformats.org/officeDocument/2006/custom-properties" xmlns:vt="http://schemas.openxmlformats.org/officeDocument/2006/docPropsVTypes"/>
</file>