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Default="00201ED4">
      <w:pPr>
        <w:rPr>
          <w:b/>
          <w:i/>
          <w:u w:val="single"/>
        </w:rPr>
      </w:pPr>
      <w:r w:rsidRPr="00201ED4">
        <w:rPr>
          <w:b/>
          <w:i/>
          <w:u w:val="single"/>
        </w:rPr>
        <w:t>Embargos de Declaração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Art. 1.022. Cabem embargos de declaração contra qualquer decisão judicial para: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0" w:name="art1022i"/>
      <w:bookmarkEnd w:id="0"/>
      <w:r>
        <w:rPr>
          <w:rFonts w:ascii="Arial" w:hAnsi="Arial" w:cs="Arial"/>
          <w:color w:val="000000"/>
          <w:sz w:val="20"/>
          <w:szCs w:val="20"/>
        </w:rPr>
        <w:t xml:space="preserve">I 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esclarecer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obscuridade ou eliminar contradição;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1" w:name="art1022ii"/>
      <w:bookmarkEnd w:id="1"/>
      <w:r>
        <w:rPr>
          <w:rFonts w:ascii="Arial" w:hAnsi="Arial" w:cs="Arial"/>
          <w:color w:val="000000"/>
          <w:sz w:val="20"/>
          <w:szCs w:val="20"/>
        </w:rPr>
        <w:t xml:space="preserve">II 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suprir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omissão de ponto ou questão sobre o qual devia se pronunciar o juiz de ofício ou a requerimento;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2" w:name="art1022iii"/>
      <w:bookmarkEnd w:id="2"/>
      <w:r>
        <w:rPr>
          <w:rFonts w:ascii="Arial" w:hAnsi="Arial" w:cs="Arial"/>
          <w:color w:val="000000"/>
          <w:sz w:val="20"/>
          <w:szCs w:val="20"/>
        </w:rPr>
        <w:t>III - corrigir erro material.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3" w:name="art1022p"/>
      <w:bookmarkEnd w:id="3"/>
      <w:r>
        <w:rPr>
          <w:rFonts w:ascii="Arial" w:hAnsi="Arial" w:cs="Arial"/>
          <w:color w:val="000000"/>
          <w:sz w:val="20"/>
          <w:szCs w:val="20"/>
        </w:rPr>
        <w:t>Parágrafo único. Considera-se omissa a decisão que: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4" w:name="art1022pi"/>
      <w:bookmarkEnd w:id="4"/>
      <w:r>
        <w:rPr>
          <w:rFonts w:ascii="Arial" w:hAnsi="Arial" w:cs="Arial"/>
          <w:color w:val="000000"/>
          <w:sz w:val="20"/>
          <w:szCs w:val="20"/>
        </w:rPr>
        <w:t xml:space="preserve">I 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deixe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 se manifestar sobre tese firmada em julgamento de casos repetitivos ou em incidente de assunção de competência aplicável ao caso sob julgamento;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5" w:name="art1022pii"/>
      <w:bookmarkEnd w:id="5"/>
      <w:r>
        <w:rPr>
          <w:rFonts w:ascii="Arial" w:hAnsi="Arial" w:cs="Arial"/>
          <w:color w:val="000000"/>
          <w:sz w:val="20"/>
          <w:szCs w:val="20"/>
        </w:rPr>
        <w:t>II - incorra em qualquer das condutas descritas no </w:t>
      </w:r>
      <w:hyperlink r:id="rId5" w:anchor="art489%C2%A71" w:history="1">
        <w:r>
          <w:rPr>
            <w:rStyle w:val="Hyperlink"/>
            <w:rFonts w:ascii="Arial" w:hAnsi="Arial" w:cs="Arial"/>
            <w:sz w:val="20"/>
            <w:szCs w:val="20"/>
          </w:rPr>
          <w:t>art. 489, § 1º 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2E0EFD" w:rsidRPr="002E0EFD" w:rsidRDefault="002E0EFD" w:rsidP="002E0EFD">
      <w:pPr>
        <w:pStyle w:val="NormalWeb"/>
        <w:ind w:firstLine="525"/>
        <w:rPr>
          <w:b/>
          <w:color w:val="000000"/>
          <w:sz w:val="20"/>
          <w:szCs w:val="20"/>
          <w:u w:val="single"/>
        </w:rPr>
      </w:pPr>
      <w:bookmarkStart w:id="6" w:name="art1023"/>
      <w:bookmarkEnd w:id="6"/>
      <w:r w:rsidRPr="002E0EFD">
        <w:rPr>
          <w:rFonts w:ascii="Arial" w:hAnsi="Arial" w:cs="Arial"/>
          <w:b/>
          <w:color w:val="000000"/>
          <w:sz w:val="20"/>
          <w:szCs w:val="20"/>
          <w:u w:val="single"/>
        </w:rPr>
        <w:t>Art. 1.023. Os embargos serão opostos, no prazo de 5 (cinco) dias, em petição dirigida ao juiz, com indicação do erro, obscuridade, contradição ou omissão, e não se sujeitam a preparo.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7" w:name="art1023§1"/>
      <w:bookmarkEnd w:id="7"/>
      <w:r>
        <w:rPr>
          <w:rFonts w:ascii="Arial" w:hAnsi="Arial" w:cs="Arial"/>
          <w:color w:val="000000"/>
          <w:sz w:val="20"/>
          <w:szCs w:val="20"/>
        </w:rPr>
        <w:t>§ 1º Aplica-se aos embargos de declaração o </w:t>
      </w:r>
      <w:hyperlink r:id="rId6" w:anchor="art229" w:history="1">
        <w:r>
          <w:rPr>
            <w:rStyle w:val="Hyperlink"/>
            <w:rFonts w:ascii="Arial" w:hAnsi="Arial" w:cs="Arial"/>
            <w:sz w:val="20"/>
            <w:szCs w:val="20"/>
          </w:rPr>
          <w:t>art. 229 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2E0EFD" w:rsidRDefault="002E0EFD" w:rsidP="002E0EFD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  <w:bookmarkStart w:id="8" w:name="art1023§2"/>
      <w:bookmarkEnd w:id="8"/>
      <w:r>
        <w:rPr>
          <w:rFonts w:ascii="Arial" w:hAnsi="Arial" w:cs="Arial"/>
          <w:color w:val="000000"/>
          <w:sz w:val="20"/>
          <w:szCs w:val="20"/>
        </w:rPr>
        <w:t>§ 2º O juiz intimará o embargado para, querendo, manifestar-se, no prazo de 5 (cinco) dias, sobre os embargos opostos, caso seu eventual acolhimento implique a modificação da decisão embargada.</w:t>
      </w:r>
    </w:p>
    <w:p w:rsidR="002E0EFD" w:rsidRDefault="002E0EFD" w:rsidP="002E0EFD">
      <w:pPr>
        <w:pStyle w:val="NormalWeb"/>
        <w:pBdr>
          <w:bottom w:val="single" w:sz="12" w:space="1" w:color="auto"/>
        </w:pBdr>
        <w:ind w:firstLine="525"/>
        <w:rPr>
          <w:rFonts w:ascii="Arial" w:hAnsi="Arial" w:cs="Arial"/>
          <w:color w:val="000000"/>
          <w:sz w:val="20"/>
          <w:szCs w:val="20"/>
        </w:rPr>
      </w:pP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Art. 1.026. Os embargos de declaração não possuem efeito suspensivo e </w:t>
      </w:r>
      <w:r w:rsidRPr="002E0EFD">
        <w:rPr>
          <w:rFonts w:ascii="Arial" w:hAnsi="Arial" w:cs="Arial"/>
          <w:color w:val="000000"/>
          <w:sz w:val="20"/>
          <w:szCs w:val="20"/>
          <w:highlight w:val="yellow"/>
        </w:rPr>
        <w:t>interrompem</w:t>
      </w:r>
      <w:r>
        <w:rPr>
          <w:rFonts w:ascii="Arial" w:hAnsi="Arial" w:cs="Arial"/>
          <w:color w:val="000000"/>
          <w:sz w:val="20"/>
          <w:szCs w:val="20"/>
        </w:rPr>
        <w:t xml:space="preserve"> o prazo para a interposição de recurso.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9" w:name="art1026§1"/>
      <w:bookmarkEnd w:id="9"/>
      <w:r>
        <w:rPr>
          <w:rFonts w:ascii="Arial" w:hAnsi="Arial" w:cs="Arial"/>
          <w:color w:val="000000"/>
          <w:sz w:val="20"/>
          <w:szCs w:val="20"/>
        </w:rPr>
        <w:t>§ 1º A eficácia da decisão monocrática ou colegiada poderá ser suspensa pelo respectivo juiz ou relator se demonstrada a probabilidade de provimento do recurso ou, sendo relevante a fundamentação, se houver risco de dano grave ou de difícil reparação.</w:t>
      </w:r>
    </w:p>
    <w:p w:rsidR="002E0EFD" w:rsidRPr="002E0EFD" w:rsidRDefault="002E0EFD" w:rsidP="002E0EFD">
      <w:pPr>
        <w:pStyle w:val="NormalWeb"/>
        <w:ind w:firstLine="525"/>
        <w:rPr>
          <w:b/>
          <w:i/>
          <w:color w:val="000000"/>
          <w:sz w:val="20"/>
          <w:szCs w:val="20"/>
          <w:u w:val="single"/>
        </w:rPr>
      </w:pPr>
      <w:bookmarkStart w:id="10" w:name="art1026§2"/>
      <w:bookmarkEnd w:id="10"/>
      <w:r w:rsidRPr="002E0EFD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§ 2º Quando manifestamente </w:t>
      </w:r>
      <w:r w:rsidRPr="002E0EFD">
        <w:rPr>
          <w:rFonts w:ascii="Arial" w:hAnsi="Arial" w:cs="Arial"/>
          <w:b/>
          <w:i/>
          <w:color w:val="000000"/>
          <w:sz w:val="20"/>
          <w:szCs w:val="20"/>
          <w:highlight w:val="yellow"/>
          <w:u w:val="single"/>
        </w:rPr>
        <w:t>protelatórios</w:t>
      </w:r>
      <w:r w:rsidRPr="002E0EFD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os embargos de declaração, o juiz ou o tribunal, em decisão fundamentada, condenará o embargante a pagar ao embargado </w:t>
      </w:r>
      <w:r w:rsidRPr="002E0EFD">
        <w:rPr>
          <w:rFonts w:ascii="Arial" w:hAnsi="Arial" w:cs="Arial"/>
          <w:b/>
          <w:i/>
          <w:color w:val="000000"/>
          <w:sz w:val="20"/>
          <w:szCs w:val="20"/>
          <w:highlight w:val="yellow"/>
          <w:u w:val="single"/>
        </w:rPr>
        <w:t>multa não excedente</w:t>
      </w:r>
      <w:r w:rsidRPr="002E0EFD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a dois por cento sobre o valor atualizado da causa.</w:t>
      </w: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bookmarkStart w:id="11" w:name="art1026§3"/>
      <w:bookmarkEnd w:id="11"/>
      <w:r>
        <w:rPr>
          <w:rFonts w:ascii="Arial" w:hAnsi="Arial" w:cs="Arial"/>
          <w:color w:val="000000"/>
          <w:sz w:val="20"/>
          <w:szCs w:val="20"/>
        </w:rPr>
        <w:t>§ 3º Na reiteração de embargos de declaração manifestamente protelatórios, a multa será elevada a até dez por cento sobre o valor atualizado da causa, e a interposição de qualquer recurso ficará condicionada ao depósito prévio do valor da multa, à exceção da Fazenda Pública e do beneficiário de gratuidade da justiça, que a recolherão ao final.</w:t>
      </w:r>
    </w:p>
    <w:p w:rsidR="002E0EFD" w:rsidRDefault="002E0EFD" w:rsidP="002E0EFD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  <w:bookmarkStart w:id="12" w:name="art1026§4"/>
      <w:bookmarkEnd w:id="12"/>
      <w:r>
        <w:rPr>
          <w:rFonts w:ascii="Arial" w:hAnsi="Arial" w:cs="Arial"/>
          <w:color w:val="000000"/>
          <w:sz w:val="20"/>
          <w:szCs w:val="20"/>
        </w:rPr>
        <w:t>§ 4º Não serão admitidos novos embargos de declaração se os 2 (dois) anteriores houverem sido considerados protelatórios.</w:t>
      </w:r>
    </w:p>
    <w:p w:rsidR="002E0EFD" w:rsidRDefault="002E0EFD" w:rsidP="002E0EFD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  <w:r>
        <w:t xml:space="preserve">SÚMULA N. 98 Embargos de declaração manifestados com </w:t>
      </w:r>
      <w:r w:rsidRPr="002E0EFD">
        <w:rPr>
          <w:b/>
        </w:rPr>
        <w:t>notório propósito</w:t>
      </w:r>
      <w:r>
        <w:t xml:space="preserve"> de </w:t>
      </w:r>
      <w:r w:rsidRPr="002E0EFD">
        <w:rPr>
          <w:b/>
        </w:rPr>
        <w:t>prequestionamento</w:t>
      </w:r>
      <w:r>
        <w:t xml:space="preserve"> não têm caráter protelatório.</w:t>
      </w:r>
      <w:bookmarkStart w:id="13" w:name="_GoBack"/>
      <w:bookmarkEnd w:id="13"/>
    </w:p>
    <w:p w:rsidR="002E0EFD" w:rsidRDefault="002E0EFD" w:rsidP="002E0EFD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</w:p>
    <w:p w:rsidR="002E0EFD" w:rsidRDefault="002E0EFD" w:rsidP="002E0EFD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</w:p>
    <w:p w:rsidR="002E0EFD" w:rsidRDefault="002E0EFD" w:rsidP="002E0EFD">
      <w:pPr>
        <w:pStyle w:val="NormalWeb"/>
        <w:ind w:firstLine="525"/>
        <w:rPr>
          <w:color w:val="000000"/>
          <w:sz w:val="20"/>
          <w:szCs w:val="20"/>
        </w:rPr>
      </w:pPr>
    </w:p>
    <w:p w:rsidR="002E0EFD" w:rsidRDefault="002E0EFD">
      <w:pPr>
        <w:rPr>
          <w:b/>
          <w:i/>
          <w:u w:val="single"/>
        </w:rPr>
      </w:pPr>
    </w:p>
    <w:p w:rsidR="00201ED4" w:rsidRDefault="00201ED4">
      <w:r>
        <w:t>Todos os atos:</w:t>
      </w:r>
    </w:p>
    <w:p w:rsidR="00201ED4" w:rsidRDefault="00201ED4" w:rsidP="00201ED4">
      <w:pPr>
        <w:pStyle w:val="PargrafodaLista"/>
        <w:numPr>
          <w:ilvl w:val="0"/>
          <w:numId w:val="1"/>
        </w:numPr>
      </w:pPr>
      <w:r>
        <w:t>Omissão</w:t>
      </w:r>
    </w:p>
    <w:p w:rsidR="00201ED4" w:rsidRDefault="00201ED4" w:rsidP="00201ED4">
      <w:pPr>
        <w:pStyle w:val="PargrafodaLista"/>
        <w:numPr>
          <w:ilvl w:val="0"/>
          <w:numId w:val="1"/>
        </w:numPr>
      </w:pPr>
      <w:r>
        <w:t>Contradição</w:t>
      </w:r>
    </w:p>
    <w:p w:rsidR="00201ED4" w:rsidRDefault="00201ED4" w:rsidP="00201ED4">
      <w:pPr>
        <w:pStyle w:val="PargrafodaLista"/>
        <w:numPr>
          <w:ilvl w:val="0"/>
          <w:numId w:val="1"/>
        </w:numPr>
      </w:pPr>
      <w:r>
        <w:t>Obscuridade</w:t>
      </w:r>
    </w:p>
    <w:p w:rsidR="00201ED4" w:rsidRDefault="00201ED4" w:rsidP="00201ED4">
      <w:pPr>
        <w:pStyle w:val="PargrafodaLista"/>
        <w:numPr>
          <w:ilvl w:val="0"/>
          <w:numId w:val="1"/>
        </w:numPr>
      </w:pPr>
      <w:r>
        <w:t xml:space="preserve">Erro Material </w:t>
      </w:r>
    </w:p>
    <w:p w:rsidR="00201ED4" w:rsidRPr="00201ED4" w:rsidRDefault="00201ED4" w:rsidP="00201ED4">
      <w:pPr>
        <w:pStyle w:val="PargrafodaLista"/>
        <w:numPr>
          <w:ilvl w:val="0"/>
          <w:numId w:val="1"/>
        </w:numPr>
        <w:rPr>
          <w:color w:val="000000" w:themeColor="text1"/>
          <w:u w:val="single"/>
        </w:rPr>
      </w:pPr>
      <w:r w:rsidRPr="00201ED4">
        <w:rPr>
          <w:color w:val="000000" w:themeColor="text1"/>
          <w:u w:val="single"/>
        </w:rPr>
        <w:t xml:space="preserve">Prequestionamento </w:t>
      </w:r>
    </w:p>
    <w:p w:rsidR="00201ED4" w:rsidRPr="00201ED4" w:rsidRDefault="00201ED4" w:rsidP="00201ED4">
      <w:pPr>
        <w:rPr>
          <w:color w:val="000000" w:themeColor="text1"/>
        </w:rPr>
      </w:pPr>
      <w:r w:rsidRPr="00201ED4">
        <w:rPr>
          <w:color w:val="000000" w:themeColor="text1"/>
        </w:rPr>
        <w:t>Tempestividade</w:t>
      </w:r>
    </w:p>
    <w:p w:rsidR="00201ED4" w:rsidRPr="00201ED4" w:rsidRDefault="00201ED4" w:rsidP="00201ED4">
      <w:pPr>
        <w:rPr>
          <w:color w:val="000000" w:themeColor="text1"/>
        </w:rPr>
      </w:pPr>
      <w:r w:rsidRPr="00201ED4">
        <w:rPr>
          <w:color w:val="000000" w:themeColor="text1"/>
        </w:rPr>
        <w:t xml:space="preserve">5 dias prazos interposição </w:t>
      </w:r>
    </w:p>
    <w:p w:rsidR="00201ED4" w:rsidRPr="00201ED4" w:rsidRDefault="00201ED4" w:rsidP="00201ED4">
      <w:pPr>
        <w:rPr>
          <w:color w:val="000000" w:themeColor="text1"/>
        </w:rPr>
      </w:pPr>
      <w:r>
        <w:rPr>
          <w:color w:val="000000" w:themeColor="text1"/>
        </w:rPr>
        <w:t>Pelo próprio ó</w:t>
      </w:r>
      <w:r w:rsidRPr="00201ED4">
        <w:rPr>
          <w:color w:val="000000" w:themeColor="text1"/>
        </w:rPr>
        <w:t>rgão</w:t>
      </w:r>
    </w:p>
    <w:sectPr w:rsidR="00201ED4" w:rsidRPr="00201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BFD"/>
    <w:multiLevelType w:val="hybridMultilevel"/>
    <w:tmpl w:val="154AFFB8"/>
    <w:lvl w:ilvl="0" w:tplc="7EB45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2A"/>
    <w:rsid w:val="00201ED4"/>
    <w:rsid w:val="002506BB"/>
    <w:rsid w:val="002E0EFD"/>
    <w:rsid w:val="00316FD2"/>
    <w:rsid w:val="00BB432A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71FD"/>
  <w15:chartTrackingRefBased/>
  <w15:docId w15:val="{08F404CB-8F42-411C-AFE0-436A1A43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E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0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15-2018/2015/lei/l13105.htm" TargetMode="External"/><Relationship Id="rId5" Type="http://schemas.openxmlformats.org/officeDocument/2006/relationships/hyperlink" Target="http://www.planalto.gov.br/ccivil_03/_ato2015-2018/2015/lei/l1310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2020-03-02T13:34:00Z</dcterms:created>
  <dcterms:modified xsi:type="dcterms:W3CDTF">2020-03-03T17:55:00Z</dcterms:modified>
</cp:coreProperties>
</file>