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5A7A6" w14:textId="77777777" w:rsidR="00304749" w:rsidRDefault="00F46AAB" w:rsidP="00304749">
      <w:pPr>
        <w:jc w:val="center"/>
        <w:rPr>
          <w:rFonts w:ascii="Times New Roman" w:hAnsi="Times New Roman" w:cs="Times New Roman"/>
          <w:b/>
          <w:bCs/>
        </w:rPr>
      </w:pPr>
      <w:r w:rsidRPr="00F46AAB">
        <w:rPr>
          <w:rFonts w:ascii="Times New Roman" w:hAnsi="Times New Roman" w:cs="Times New Roman"/>
          <w:b/>
          <w:bCs/>
        </w:rPr>
        <w:t xml:space="preserve">Conviction Concentration Framework </w:t>
      </w:r>
    </w:p>
    <w:p w14:paraId="19A16C1A" w14:textId="584CBC6E" w:rsidR="00F46AAB" w:rsidRPr="00F46AAB" w:rsidRDefault="00F46AAB" w:rsidP="00304749">
      <w:pPr>
        <w:jc w:val="center"/>
        <w:rPr>
          <w:rFonts w:ascii="Times New Roman" w:hAnsi="Times New Roman" w:cs="Times New Roman"/>
          <w:b/>
          <w:bCs/>
        </w:rPr>
      </w:pPr>
      <w:r w:rsidRPr="00F46AAB">
        <w:rPr>
          <w:rFonts w:ascii="Times New Roman" w:hAnsi="Times New Roman" w:cs="Times New Roman"/>
          <w:b/>
          <w:bCs/>
        </w:rPr>
        <w:t>A Systematic Approach to Portfolio Allocation and Risk Management</w:t>
      </w:r>
    </w:p>
    <w:p w14:paraId="04B97498" w14:textId="5B5E7E5D" w:rsidR="00EC4847" w:rsidRDefault="00F46AAB" w:rsidP="00FA4BF4">
      <w:pPr>
        <w:jc w:val="center"/>
        <w:rPr>
          <w:rFonts w:ascii="Times New Roman" w:hAnsi="Times New Roman" w:cs="Times New Roman"/>
        </w:rPr>
      </w:pPr>
      <w:r>
        <w:rPr>
          <w:rFonts w:ascii="Times New Roman" w:hAnsi="Times New Roman" w:cs="Times New Roman"/>
        </w:rPr>
        <w:t>Aditya Mishra</w:t>
      </w:r>
    </w:p>
    <w:p w14:paraId="051D6E6B" w14:textId="1689385A" w:rsidR="00F46AAB" w:rsidRDefault="00F46AAB" w:rsidP="00F46AAB">
      <w:pPr>
        <w:jc w:val="center"/>
        <w:rPr>
          <w:rFonts w:ascii="Times New Roman" w:hAnsi="Times New Roman" w:cs="Times New Roman"/>
        </w:rPr>
      </w:pPr>
      <w:r>
        <w:rPr>
          <w:rFonts w:ascii="Times New Roman" w:hAnsi="Times New Roman" w:cs="Times New Roman"/>
        </w:rPr>
        <w:t>30 November, 2025</w:t>
      </w:r>
    </w:p>
    <w:p w14:paraId="1E5BB6B4" w14:textId="77777777" w:rsidR="00F46AAB" w:rsidRDefault="00F46AAB" w:rsidP="00F46AAB">
      <w:pPr>
        <w:jc w:val="center"/>
        <w:rPr>
          <w:rFonts w:ascii="Times New Roman" w:hAnsi="Times New Roman" w:cs="Times New Roman"/>
        </w:rPr>
      </w:pPr>
    </w:p>
    <w:p w14:paraId="32850C8E" w14:textId="63C6AA5E" w:rsidR="00F46AAB" w:rsidRDefault="00F46AAB" w:rsidP="00F46AAB">
      <w:pPr>
        <w:ind w:left="864" w:right="864"/>
        <w:jc w:val="both"/>
        <w:rPr>
          <w:rFonts w:ascii="Times New Roman" w:hAnsi="Times New Roman" w:cs="Times New Roman"/>
        </w:rPr>
      </w:pPr>
      <w:r w:rsidRPr="00F46AAB">
        <w:rPr>
          <w:rFonts w:ascii="Times New Roman" w:hAnsi="Times New Roman" w:cs="Times New Roman"/>
          <w:b/>
          <w:bCs/>
        </w:rPr>
        <w:t>Abstract.</w:t>
      </w:r>
      <w:r>
        <w:rPr>
          <w:rFonts w:ascii="Times New Roman" w:hAnsi="Times New Roman" w:cs="Times New Roman"/>
        </w:rPr>
        <w:t xml:space="preserve"> </w:t>
      </w:r>
      <w:r w:rsidRPr="00F46AAB">
        <w:rPr>
          <w:rFonts w:ascii="Times New Roman" w:hAnsi="Times New Roman" w:cs="Times New Roman"/>
        </w:rPr>
        <w:t xml:space="preserve">This paper introduces the </w:t>
      </w:r>
      <w:r w:rsidRPr="001B53A8">
        <w:rPr>
          <w:rFonts w:ascii="Times New Roman" w:hAnsi="Times New Roman" w:cs="Times New Roman"/>
          <w:i/>
          <w:iCs/>
        </w:rPr>
        <w:t>Conviction Concentration Framework</w:t>
      </w:r>
      <w:r w:rsidRPr="00F46AAB">
        <w:rPr>
          <w:rFonts w:ascii="Times New Roman" w:hAnsi="Times New Roman" w:cs="Times New Roman"/>
        </w:rPr>
        <w:t xml:space="preserve"> (CCF), a sophisticated quantitative methodology for balancing investment conviction with prudent risk management in equity portfolio construction. The framework employs a multi-dimensional scoring system across four analytical dimensions to generate conviction scores that inform explicit position sizing limits. The model represents a significant advancement in systematic portfolio management by providing a disciplined, rules-based approach to resolving the fundamental tension between concentration for alpha generation and diversification for risk mitigation. Through its structured methodology of weighted factor scoring, normalized metric transformation, and exposure mapping, the CCF translates qualitative investment insights into quantitative allocation constraints, offering portfolio managers a robust tool for systematic risk control and capital allocation decisions.</w:t>
      </w:r>
    </w:p>
    <w:p w14:paraId="474B1605" w14:textId="77777777" w:rsidR="00B53728" w:rsidRDefault="00B53728" w:rsidP="00F46AAB">
      <w:pPr>
        <w:ind w:left="864" w:right="864"/>
        <w:jc w:val="both"/>
        <w:rPr>
          <w:rFonts w:ascii="Times New Roman" w:hAnsi="Times New Roman" w:cs="Times New Roman"/>
        </w:rPr>
      </w:pPr>
    </w:p>
    <w:p w14:paraId="45EAE61E" w14:textId="77777777" w:rsidR="00B53728" w:rsidRDefault="00B53728" w:rsidP="00B53728">
      <w:pPr>
        <w:jc w:val="both"/>
        <w:rPr>
          <w:rFonts w:ascii="Times New Roman" w:hAnsi="Times New Roman" w:cs="Times New Roman"/>
        </w:rPr>
      </w:pPr>
    </w:p>
    <w:p w14:paraId="521A829D" w14:textId="77777777" w:rsidR="00B53728" w:rsidRPr="00B53728" w:rsidRDefault="00B53728" w:rsidP="00B53728">
      <w:pPr>
        <w:pStyle w:val="ListParagraph"/>
        <w:numPr>
          <w:ilvl w:val="0"/>
          <w:numId w:val="1"/>
        </w:numPr>
        <w:jc w:val="both"/>
        <w:rPr>
          <w:rFonts w:ascii="Times New Roman" w:hAnsi="Times New Roman" w:cs="Times New Roman"/>
          <w:b/>
          <w:bCs/>
        </w:rPr>
      </w:pPr>
      <w:r w:rsidRPr="00B53728">
        <w:rPr>
          <w:rFonts w:ascii="Times New Roman" w:hAnsi="Times New Roman" w:cs="Times New Roman"/>
          <w:b/>
          <w:bCs/>
        </w:rPr>
        <w:t>Introduction</w:t>
      </w:r>
    </w:p>
    <w:p w14:paraId="0533946C" w14:textId="77777777" w:rsidR="00B53728" w:rsidRPr="00B53728" w:rsidRDefault="00B53728" w:rsidP="00B53728">
      <w:pPr>
        <w:pStyle w:val="ListParagraph"/>
        <w:jc w:val="both"/>
        <w:rPr>
          <w:rFonts w:ascii="Times New Roman" w:hAnsi="Times New Roman" w:cs="Times New Roman"/>
        </w:rPr>
      </w:pPr>
      <w:r w:rsidRPr="00B53728">
        <w:rPr>
          <w:rFonts w:ascii="Times New Roman" w:hAnsi="Times New Roman" w:cs="Times New Roman"/>
        </w:rPr>
        <w:t>The perpetual challenge in portfolio management revolves around the optimal calibration of concentration risk, specifically the deliberate tension between deploying capital into high-conviction opportunities while maintaining sufficient diversification to mitigate unsystematic risk. Traditional approaches to this dilemma have often relied on heuristic methods, subjective judgment, or oversimplified risk metrics that fail to capture the multidimensional nature of investment conviction and risk. The absence of systematic frameworks that seamlessly integrate fundamental analysis with explicit position sizing guidelines has represented a significant gap in both academic literature and practical portfolio management tools.</w:t>
      </w:r>
    </w:p>
    <w:p w14:paraId="26D19973" w14:textId="77777777" w:rsidR="00B53728" w:rsidRPr="00B53728" w:rsidRDefault="00B53728" w:rsidP="00B53728">
      <w:pPr>
        <w:pStyle w:val="ListParagraph"/>
        <w:jc w:val="both"/>
        <w:rPr>
          <w:rFonts w:ascii="Times New Roman" w:hAnsi="Times New Roman" w:cs="Times New Roman"/>
        </w:rPr>
      </w:pPr>
    </w:p>
    <w:p w14:paraId="707D5E6A" w14:textId="63994AAB" w:rsidR="00B53728" w:rsidRDefault="00B53728" w:rsidP="00B53728">
      <w:pPr>
        <w:pStyle w:val="ListParagraph"/>
        <w:jc w:val="both"/>
        <w:rPr>
          <w:rFonts w:ascii="Times New Roman" w:hAnsi="Times New Roman" w:cs="Times New Roman"/>
        </w:rPr>
      </w:pPr>
      <w:r w:rsidRPr="00B53728">
        <w:rPr>
          <w:rFonts w:ascii="Times New Roman" w:hAnsi="Times New Roman" w:cs="Times New Roman"/>
        </w:rPr>
        <w:t xml:space="preserve">The Conviction Concentration Framework (CCF) emerges as a comprehensive solution to this longstanding challenge. By developing a structured, quantitative methodology that spans multiple analytical dimensions and translates assessment scores into concrete allocation limits, the CCF provides portfolio managers with a sophisticated tool for balancing the competing objectives of capital deployment efficiency and risk management effectiveness. The framework's architecture systematically addresses the </w:t>
      </w:r>
      <w:r w:rsidRPr="00B53728">
        <w:rPr>
          <w:rFonts w:ascii="Times New Roman" w:hAnsi="Times New Roman" w:cs="Times New Roman"/>
        </w:rPr>
        <w:lastRenderedPageBreak/>
        <w:t xml:space="preserve">critical components of investment analysis while maintaining practical </w:t>
      </w:r>
      <w:r w:rsidRPr="00B53728">
        <w:rPr>
          <w:rFonts w:ascii="Times New Roman" w:hAnsi="Times New Roman" w:cs="Times New Roman"/>
        </w:rPr>
        <w:t>implement</w:t>
      </w:r>
      <w:r>
        <w:rPr>
          <w:rFonts w:ascii="Times New Roman" w:hAnsi="Times New Roman" w:cs="Times New Roman"/>
        </w:rPr>
        <w:t>-a</w:t>
      </w:r>
      <w:r w:rsidRPr="00B53728">
        <w:rPr>
          <w:rFonts w:ascii="Times New Roman" w:hAnsi="Times New Roman" w:cs="Times New Roman"/>
        </w:rPr>
        <w:t>bility</w:t>
      </w:r>
      <w:r w:rsidRPr="00B53728">
        <w:rPr>
          <w:rFonts w:ascii="Times New Roman" w:hAnsi="Times New Roman" w:cs="Times New Roman"/>
        </w:rPr>
        <w:t xml:space="preserve"> in real-world portfolio management contexts.</w:t>
      </w:r>
    </w:p>
    <w:p w14:paraId="4FCD34E7" w14:textId="77777777" w:rsidR="000C215C" w:rsidRDefault="000C215C" w:rsidP="00B53728">
      <w:pPr>
        <w:pStyle w:val="ListParagraph"/>
        <w:jc w:val="both"/>
        <w:rPr>
          <w:rFonts w:ascii="Times New Roman" w:hAnsi="Times New Roman" w:cs="Times New Roman"/>
        </w:rPr>
      </w:pPr>
    </w:p>
    <w:p w14:paraId="4015AF26" w14:textId="77777777" w:rsidR="000C215C" w:rsidRPr="000C215C" w:rsidRDefault="000C215C" w:rsidP="000C215C">
      <w:pPr>
        <w:pStyle w:val="ListParagraph"/>
        <w:numPr>
          <w:ilvl w:val="0"/>
          <w:numId w:val="1"/>
        </w:numPr>
        <w:jc w:val="both"/>
        <w:rPr>
          <w:rFonts w:ascii="Times New Roman" w:hAnsi="Times New Roman" w:cs="Times New Roman"/>
          <w:b/>
          <w:bCs/>
        </w:rPr>
      </w:pPr>
      <w:r w:rsidRPr="000C215C">
        <w:rPr>
          <w:rFonts w:ascii="Times New Roman" w:hAnsi="Times New Roman" w:cs="Times New Roman"/>
          <w:b/>
          <w:bCs/>
        </w:rPr>
        <w:t>Theoretical Foundations and Model Architecture</w:t>
      </w:r>
    </w:p>
    <w:p w14:paraId="16824A11" w14:textId="0B2574AF" w:rsidR="000C215C" w:rsidRPr="000C215C" w:rsidRDefault="000C215C" w:rsidP="000C215C">
      <w:pPr>
        <w:pStyle w:val="ListParagraph"/>
        <w:jc w:val="both"/>
        <w:rPr>
          <w:rFonts w:ascii="Times New Roman" w:hAnsi="Times New Roman" w:cs="Times New Roman"/>
        </w:rPr>
      </w:pPr>
      <w:r w:rsidRPr="000C215C">
        <w:rPr>
          <w:rFonts w:ascii="Times New Roman" w:hAnsi="Times New Roman" w:cs="Times New Roman"/>
        </w:rPr>
        <w:t xml:space="preserve">The CCF rests upon a robust theoretical foundation that integrates principles from modern portfolio theory, </w:t>
      </w:r>
      <w:r w:rsidRPr="000C215C">
        <w:rPr>
          <w:rFonts w:ascii="Times New Roman" w:hAnsi="Times New Roman" w:cs="Times New Roman"/>
        </w:rPr>
        <w:t>behavioural</w:t>
      </w:r>
      <w:r w:rsidRPr="000C215C">
        <w:rPr>
          <w:rFonts w:ascii="Times New Roman" w:hAnsi="Times New Roman" w:cs="Times New Roman"/>
        </w:rPr>
        <w:t xml:space="preserve"> finance, and risk management. The model's architecture is built around four interconnected analytical pillars that collectively form a comprehensive assessment framework. Each pillar contributes distinct insights into the investment's characteristics, with the aggregate output providing a holistic view of both return potential and risk considerations.</w:t>
      </w:r>
    </w:p>
    <w:p w14:paraId="1F603A75" w14:textId="77777777" w:rsidR="000C215C" w:rsidRPr="000C215C" w:rsidRDefault="000C215C" w:rsidP="000C215C">
      <w:pPr>
        <w:pStyle w:val="ListParagraph"/>
        <w:jc w:val="both"/>
        <w:rPr>
          <w:rFonts w:ascii="Times New Roman" w:hAnsi="Times New Roman" w:cs="Times New Roman"/>
        </w:rPr>
      </w:pPr>
    </w:p>
    <w:p w14:paraId="49AF4A88" w14:textId="77777777" w:rsidR="000C215C" w:rsidRPr="000C215C" w:rsidRDefault="000C215C" w:rsidP="000C215C">
      <w:pPr>
        <w:pStyle w:val="ListParagraph"/>
        <w:jc w:val="both"/>
        <w:rPr>
          <w:rFonts w:ascii="Times New Roman" w:hAnsi="Times New Roman" w:cs="Times New Roman"/>
        </w:rPr>
      </w:pPr>
      <w:r w:rsidRPr="000C215C">
        <w:rPr>
          <w:rFonts w:ascii="Times New Roman" w:hAnsi="Times New Roman" w:cs="Times New Roman"/>
        </w:rPr>
        <w:t>The framework employs a hierarchical structure that begins with individual metric assessment, progresses through dimensional scoring, and culminates in an integrated conviction score. This structured approach ensures consistency in evaluation while accommodating the complex, multi-faceted nature of equity analysis. The model's design incorporates both absolute and relative assessment criteria, allowing for adaptation to varying market conditions and portfolio contexts while maintaining methodological rigor.</w:t>
      </w:r>
    </w:p>
    <w:p w14:paraId="64CB2DCD" w14:textId="77777777" w:rsidR="000C215C" w:rsidRPr="000C215C" w:rsidRDefault="000C215C" w:rsidP="000C215C">
      <w:pPr>
        <w:pStyle w:val="ListParagraph"/>
        <w:jc w:val="both"/>
        <w:rPr>
          <w:rFonts w:ascii="Times New Roman" w:hAnsi="Times New Roman" w:cs="Times New Roman"/>
        </w:rPr>
      </w:pPr>
    </w:p>
    <w:p w14:paraId="7AA5325F" w14:textId="61A90EFA" w:rsidR="000C215C" w:rsidRDefault="000C215C" w:rsidP="000C215C">
      <w:pPr>
        <w:pStyle w:val="ListParagraph"/>
        <w:jc w:val="both"/>
        <w:rPr>
          <w:rFonts w:ascii="Times New Roman" w:hAnsi="Times New Roman" w:cs="Times New Roman"/>
        </w:rPr>
      </w:pPr>
      <w:r w:rsidRPr="000C215C">
        <w:rPr>
          <w:rFonts w:ascii="Times New Roman" w:hAnsi="Times New Roman" w:cs="Times New Roman"/>
        </w:rPr>
        <w:t>Central to the framework's architecture is the principle of weighted aggregation, where different analytical dimensions contribute proportionally to the final conviction score based on their relative importance in the investment decision process. This weighting scheme reflects both empirical evidence and theoretical considerations regarding the persistence and significance of various factor contributions to long-term investment outcomes.</w:t>
      </w:r>
    </w:p>
    <w:p w14:paraId="4D3006E5" w14:textId="77777777" w:rsidR="00996F2C" w:rsidRDefault="00996F2C" w:rsidP="000C215C">
      <w:pPr>
        <w:pStyle w:val="ListParagraph"/>
        <w:jc w:val="both"/>
        <w:rPr>
          <w:rFonts w:ascii="Times New Roman" w:hAnsi="Times New Roman" w:cs="Times New Roman"/>
        </w:rPr>
      </w:pPr>
    </w:p>
    <w:p w14:paraId="639E5AF6" w14:textId="0C9C85CC" w:rsidR="00996F2C" w:rsidRPr="00996F2C" w:rsidRDefault="00996F2C" w:rsidP="00996F2C">
      <w:pPr>
        <w:pStyle w:val="ListParagraph"/>
        <w:numPr>
          <w:ilvl w:val="0"/>
          <w:numId w:val="1"/>
        </w:numPr>
        <w:jc w:val="both"/>
        <w:rPr>
          <w:rFonts w:ascii="Times New Roman" w:hAnsi="Times New Roman" w:cs="Times New Roman"/>
          <w:b/>
          <w:bCs/>
        </w:rPr>
      </w:pPr>
      <w:r w:rsidRPr="00996F2C">
        <w:rPr>
          <w:rFonts w:ascii="Times New Roman" w:hAnsi="Times New Roman" w:cs="Times New Roman"/>
          <w:b/>
          <w:bCs/>
        </w:rPr>
        <w:t>Methodology and Scoring System</w:t>
      </w:r>
    </w:p>
    <w:p w14:paraId="2833ACF4" w14:textId="78AA88C7" w:rsidR="00996F2C" w:rsidRDefault="00996F2C" w:rsidP="00274590">
      <w:pPr>
        <w:pStyle w:val="ListParagraph"/>
        <w:jc w:val="both"/>
        <w:rPr>
          <w:rFonts w:ascii="Times New Roman" w:hAnsi="Times New Roman" w:cs="Times New Roman"/>
        </w:rPr>
      </w:pPr>
      <w:r w:rsidRPr="00996F2C">
        <w:rPr>
          <w:rFonts w:ascii="Times New Roman" w:hAnsi="Times New Roman" w:cs="Times New Roman"/>
        </w:rPr>
        <w:t>The CCF methodology employs a systematic scoring approach across four primary analytical dimensions, each comprising multiple underlying metrics that capture distinct aspects of investment quality and risk. The scoring system transforms raw financial and market data into normalized scores on a consistent scale, facilitating comparative analysis and aggregation across diverse metrics and investment opportunities</w:t>
      </w:r>
      <w:r w:rsidR="00274590">
        <w:rPr>
          <w:rFonts w:ascii="Times New Roman" w:hAnsi="Times New Roman" w:cs="Times New Roman"/>
        </w:rPr>
        <w:t xml:space="preserve">. </w:t>
      </w:r>
      <w:r w:rsidRPr="00274590">
        <w:rPr>
          <w:rFonts w:ascii="Times New Roman" w:hAnsi="Times New Roman" w:cs="Times New Roman"/>
        </w:rPr>
        <w:t>The quality dimension assessment incorporates six fundamental metrics that evaluate business strength and operational excellence. Each metric is scored on a normalized scale relative to the investment universe, with specific threshold-based scoring for categorical variables. The scoring methodology employs min-max normalization for continuous variables and predefined categorical thresholds for discrete variables, ensuring consistent treatment across different types of financial metrics.</w:t>
      </w:r>
    </w:p>
    <w:p w14:paraId="1A13B46A" w14:textId="77777777" w:rsidR="00DE7A31" w:rsidRPr="00274590" w:rsidRDefault="00DE7A31" w:rsidP="00274590">
      <w:pPr>
        <w:pStyle w:val="ListParagraph"/>
        <w:jc w:val="both"/>
        <w:rPr>
          <w:rFonts w:ascii="Times New Roman" w:hAnsi="Times New Roman" w:cs="Times New Roman"/>
        </w:rPr>
      </w:pPr>
    </w:p>
    <w:p w14:paraId="617EE6A1" w14:textId="77777777" w:rsidR="00996F2C" w:rsidRPr="00996F2C" w:rsidRDefault="00996F2C" w:rsidP="00996F2C">
      <w:pPr>
        <w:pStyle w:val="ListParagraph"/>
        <w:jc w:val="both"/>
        <w:rPr>
          <w:rFonts w:ascii="Times New Roman" w:hAnsi="Times New Roman" w:cs="Times New Roman"/>
        </w:rPr>
      </w:pPr>
      <w:r w:rsidRPr="00996F2C">
        <w:rPr>
          <w:rFonts w:ascii="Times New Roman" w:hAnsi="Times New Roman" w:cs="Times New Roman"/>
        </w:rPr>
        <w:t xml:space="preserve">The valuation dimension utilizes three complementary approaches to assess investment attractiveness from a price perspective. The relative valuation component compares current valuation multiples to industry benchmarks, while the growth-adjusted </w:t>
      </w:r>
      <w:r w:rsidRPr="00996F2C">
        <w:rPr>
          <w:rFonts w:ascii="Times New Roman" w:hAnsi="Times New Roman" w:cs="Times New Roman"/>
        </w:rPr>
        <w:lastRenderedPageBreak/>
        <w:t>valuation metric incorporates earnings growth expectations. The scoring thresholds for valuation metrics are derived from empirical studies of valuation percentiles and their subsequent return implications.</w:t>
      </w:r>
    </w:p>
    <w:p w14:paraId="5C628E18" w14:textId="77777777" w:rsidR="00996F2C" w:rsidRPr="00996F2C" w:rsidRDefault="00996F2C" w:rsidP="00996F2C">
      <w:pPr>
        <w:pStyle w:val="ListParagraph"/>
        <w:jc w:val="both"/>
        <w:rPr>
          <w:rFonts w:ascii="Times New Roman" w:hAnsi="Times New Roman" w:cs="Times New Roman"/>
        </w:rPr>
      </w:pPr>
      <w:r w:rsidRPr="00996F2C">
        <w:rPr>
          <w:rFonts w:ascii="Times New Roman" w:hAnsi="Times New Roman" w:cs="Times New Roman"/>
        </w:rPr>
        <w:t>The financial stability dimension evaluates three critical aspects of corporate robustness and risk exposure. The leverage assessment examines capital structure sustainability, the liquidity analysis evaluates short-term financial flexibility, and the volatility measurement assesses market risk characteristics. Each component employs threshold-based scoring derived from historical default studies and risk assessment literature.</w:t>
      </w:r>
    </w:p>
    <w:p w14:paraId="4BF2263B" w14:textId="77777777" w:rsidR="00996F2C" w:rsidRPr="00996F2C" w:rsidRDefault="00996F2C" w:rsidP="00996F2C">
      <w:pPr>
        <w:pStyle w:val="ListParagraph"/>
        <w:jc w:val="both"/>
        <w:rPr>
          <w:rFonts w:ascii="Times New Roman" w:hAnsi="Times New Roman" w:cs="Times New Roman"/>
        </w:rPr>
      </w:pPr>
      <w:r w:rsidRPr="00996F2C">
        <w:rPr>
          <w:rFonts w:ascii="Times New Roman" w:hAnsi="Times New Roman" w:cs="Times New Roman"/>
        </w:rPr>
        <w:t>The correlation dimension assesses portfolio integration benefits through analysis of return co-movement patterns. This dimension utilizes historical correlation analysis and scores investments based on their diversification potential within the portfolio context. The scoring methodology emphasizes the marginal diversification benefit each investment provides to the overall portfolio construction.</w:t>
      </w:r>
    </w:p>
    <w:p w14:paraId="02DB0EEC" w14:textId="792A9A24" w:rsidR="00996F2C" w:rsidRDefault="00996F2C" w:rsidP="00996F2C">
      <w:pPr>
        <w:pStyle w:val="ListParagraph"/>
        <w:jc w:val="both"/>
        <w:rPr>
          <w:rFonts w:ascii="Times New Roman" w:hAnsi="Times New Roman" w:cs="Times New Roman"/>
        </w:rPr>
      </w:pPr>
    </w:p>
    <w:p w14:paraId="12EDAD87" w14:textId="2CBB31FB" w:rsidR="00DE7A31" w:rsidRPr="00DE7A31" w:rsidRDefault="00DE7A31" w:rsidP="00DE7A31">
      <w:pPr>
        <w:pStyle w:val="ListParagraph"/>
        <w:numPr>
          <w:ilvl w:val="0"/>
          <w:numId w:val="1"/>
        </w:numPr>
        <w:jc w:val="both"/>
        <w:rPr>
          <w:rFonts w:ascii="Times New Roman" w:hAnsi="Times New Roman" w:cs="Times New Roman"/>
          <w:b/>
          <w:bCs/>
        </w:rPr>
      </w:pPr>
      <w:r w:rsidRPr="00DE7A31">
        <w:rPr>
          <w:rFonts w:ascii="Times New Roman" w:hAnsi="Times New Roman" w:cs="Times New Roman"/>
          <w:b/>
          <w:bCs/>
        </w:rPr>
        <w:t>Conviction Scoring and Allocation Framework</w:t>
      </w:r>
    </w:p>
    <w:p w14:paraId="4326DED2" w14:textId="02FC8F76" w:rsidR="00DE7A31" w:rsidRPr="00DE7A31" w:rsidRDefault="00DE7A31" w:rsidP="00DE7A31">
      <w:pPr>
        <w:pStyle w:val="ListParagraph"/>
        <w:jc w:val="both"/>
        <w:rPr>
          <w:rFonts w:ascii="Times New Roman" w:hAnsi="Times New Roman" w:cs="Times New Roman"/>
        </w:rPr>
      </w:pPr>
      <w:r w:rsidRPr="00DE7A31">
        <w:rPr>
          <w:rFonts w:ascii="Times New Roman" w:hAnsi="Times New Roman" w:cs="Times New Roman"/>
        </w:rPr>
        <w:t xml:space="preserve">The core innovation of the CCF lies in its systematic translation of multi-dimensional investment assessment into quantitative conviction scores and explicit allocation limits. The conviction score calculation employs a weighted average approach that combines the </w:t>
      </w:r>
      <w:r w:rsidR="005E7A4F" w:rsidRPr="00DE7A31">
        <w:rPr>
          <w:rFonts w:ascii="Times New Roman" w:hAnsi="Times New Roman" w:cs="Times New Roman"/>
        </w:rPr>
        <w:t>four-dimensional</w:t>
      </w:r>
      <w:r w:rsidRPr="00DE7A31">
        <w:rPr>
          <w:rFonts w:ascii="Times New Roman" w:hAnsi="Times New Roman" w:cs="Times New Roman"/>
        </w:rPr>
        <w:t xml:space="preserve"> scores according to predetermined weights that reflect their relative importance in the investment decision process.</w:t>
      </w:r>
    </w:p>
    <w:p w14:paraId="453F02C5" w14:textId="77777777" w:rsidR="00DE7A31" w:rsidRPr="00DE7A31" w:rsidRDefault="00DE7A31" w:rsidP="00DE7A31">
      <w:pPr>
        <w:pStyle w:val="ListParagraph"/>
        <w:jc w:val="both"/>
        <w:rPr>
          <w:rFonts w:ascii="Times New Roman" w:hAnsi="Times New Roman" w:cs="Times New Roman"/>
        </w:rPr>
      </w:pPr>
      <w:r w:rsidRPr="00DE7A31">
        <w:rPr>
          <w:rFonts w:ascii="Times New Roman" w:hAnsi="Times New Roman" w:cs="Times New Roman"/>
        </w:rPr>
        <w:t>The framework's allocation methodology maps conviction scores to maximum position sizes through a predefined schedule that balances the desire for concentration in high-conviction ideas with the prudent management of concentration risk. The allocation limits are structured in discrete tiers that provide clear guidelines for position sizing while allowing sufficient flexibility for portfolio construction.</w:t>
      </w:r>
    </w:p>
    <w:p w14:paraId="1D5A094C" w14:textId="77777777" w:rsidR="00DE7A31" w:rsidRPr="00DE7A31" w:rsidRDefault="00DE7A31" w:rsidP="00DE7A31">
      <w:pPr>
        <w:pStyle w:val="ListParagraph"/>
        <w:jc w:val="both"/>
        <w:rPr>
          <w:rFonts w:ascii="Times New Roman" w:hAnsi="Times New Roman" w:cs="Times New Roman"/>
        </w:rPr>
      </w:pPr>
      <w:r w:rsidRPr="00DE7A31">
        <w:rPr>
          <w:rFonts w:ascii="Times New Roman" w:hAnsi="Times New Roman" w:cs="Times New Roman"/>
        </w:rPr>
        <w:t>The model incorporates an explicit overweight identification mechanism that compares current portfolio allocations to model-recommended limits. This feature provides portfolio managers with clear, actionable insights regarding portfolio rebalancing needs and concentration risk management. The identification threshold is calibrated to balance sensitivity to allocation drift with practical rebalancing considerations.</w:t>
      </w:r>
    </w:p>
    <w:p w14:paraId="22237843" w14:textId="77777777" w:rsidR="00DE7A31" w:rsidRPr="00DE7A31" w:rsidRDefault="00DE7A31" w:rsidP="00DE7A31">
      <w:pPr>
        <w:pStyle w:val="ListParagraph"/>
        <w:jc w:val="both"/>
        <w:rPr>
          <w:rFonts w:ascii="Times New Roman" w:hAnsi="Times New Roman" w:cs="Times New Roman"/>
        </w:rPr>
      </w:pPr>
      <w:r w:rsidRPr="00DE7A31">
        <w:rPr>
          <w:rFonts w:ascii="Times New Roman" w:hAnsi="Times New Roman" w:cs="Times New Roman"/>
        </w:rPr>
        <w:t>The framework includes a comprehensive monitoring system that tracks model inputs, scoring calculations, and allocation recommendations over time. This monitoring capability supports ongoing model validation, parameter calibration, and performance attribution analysis, ensuring the framework remains responsive to changing market conditions and portfolio requirements.</w:t>
      </w:r>
    </w:p>
    <w:p w14:paraId="06C6AAED" w14:textId="77777777" w:rsidR="00DE7A31" w:rsidRDefault="00DE7A31" w:rsidP="00996F2C">
      <w:pPr>
        <w:pStyle w:val="ListParagraph"/>
        <w:jc w:val="both"/>
        <w:rPr>
          <w:rFonts w:ascii="Times New Roman" w:hAnsi="Times New Roman" w:cs="Times New Roman"/>
        </w:rPr>
      </w:pPr>
    </w:p>
    <w:p w14:paraId="3C2AA495" w14:textId="22D6F89F" w:rsidR="000008B1" w:rsidRPr="000008B1" w:rsidRDefault="000008B1" w:rsidP="000008B1">
      <w:pPr>
        <w:pStyle w:val="ListParagraph"/>
        <w:numPr>
          <w:ilvl w:val="0"/>
          <w:numId w:val="1"/>
        </w:numPr>
        <w:jc w:val="both"/>
        <w:rPr>
          <w:rFonts w:ascii="Times New Roman" w:hAnsi="Times New Roman" w:cs="Times New Roman"/>
          <w:b/>
          <w:bCs/>
        </w:rPr>
      </w:pPr>
      <w:r w:rsidRPr="000008B1">
        <w:rPr>
          <w:rFonts w:ascii="Times New Roman" w:hAnsi="Times New Roman" w:cs="Times New Roman"/>
          <w:b/>
          <w:bCs/>
        </w:rPr>
        <w:t xml:space="preserve"> Implementation Considerations and Model Validation</w:t>
      </w:r>
    </w:p>
    <w:p w14:paraId="4AF8CDE2" w14:textId="77777777" w:rsidR="000008B1" w:rsidRPr="000008B1" w:rsidRDefault="000008B1" w:rsidP="000008B1">
      <w:pPr>
        <w:pStyle w:val="ListParagraph"/>
        <w:jc w:val="both"/>
        <w:rPr>
          <w:rFonts w:ascii="Times New Roman" w:hAnsi="Times New Roman" w:cs="Times New Roman"/>
        </w:rPr>
      </w:pPr>
      <w:r w:rsidRPr="000008B1">
        <w:rPr>
          <w:rFonts w:ascii="Times New Roman" w:hAnsi="Times New Roman" w:cs="Times New Roman"/>
        </w:rPr>
        <w:t>Successful implementation of the CCF requires careful attention to data quality, parameter calibration, and integration with existing portfolio management processes. The framework's effectiveness depends critically on the accuracy and timeliness of input data, necessitating robust data governance procedures and validation protocols.</w:t>
      </w:r>
    </w:p>
    <w:p w14:paraId="45FF2434" w14:textId="44525EC7" w:rsidR="000008B1" w:rsidRPr="000008B1" w:rsidRDefault="000008B1" w:rsidP="000008B1">
      <w:pPr>
        <w:pStyle w:val="ListParagraph"/>
        <w:jc w:val="both"/>
        <w:rPr>
          <w:rFonts w:ascii="Times New Roman" w:hAnsi="Times New Roman" w:cs="Times New Roman"/>
        </w:rPr>
      </w:pPr>
      <w:r w:rsidRPr="000008B1">
        <w:rPr>
          <w:rFonts w:ascii="Times New Roman" w:hAnsi="Times New Roman" w:cs="Times New Roman"/>
        </w:rPr>
        <w:t xml:space="preserve">Model validation involves both </w:t>
      </w:r>
      <w:r w:rsidR="00751B84" w:rsidRPr="000008B1">
        <w:rPr>
          <w:rFonts w:ascii="Times New Roman" w:hAnsi="Times New Roman" w:cs="Times New Roman"/>
        </w:rPr>
        <w:t>back testing</w:t>
      </w:r>
      <w:r w:rsidRPr="000008B1">
        <w:rPr>
          <w:rFonts w:ascii="Times New Roman" w:hAnsi="Times New Roman" w:cs="Times New Roman"/>
        </w:rPr>
        <w:t xml:space="preserve"> of historical performance and ongoing monitoring of model outputs relative to actual portfolio outcomes. The validation </w:t>
      </w:r>
      <w:r w:rsidRPr="000008B1">
        <w:rPr>
          <w:rFonts w:ascii="Times New Roman" w:hAnsi="Times New Roman" w:cs="Times New Roman"/>
        </w:rPr>
        <w:lastRenderedPageBreak/>
        <w:t>process assesses the framework's ability to consistently identify high-conviction opportunities while effectively controlling concentration risk. Performance metrics include risk-adjusted returns, concentration measures, and drawdown analysis during stress periods.</w:t>
      </w:r>
    </w:p>
    <w:p w14:paraId="681CB535" w14:textId="77777777" w:rsidR="000008B1" w:rsidRPr="000008B1" w:rsidRDefault="000008B1" w:rsidP="000008B1">
      <w:pPr>
        <w:pStyle w:val="ListParagraph"/>
        <w:jc w:val="both"/>
        <w:rPr>
          <w:rFonts w:ascii="Times New Roman" w:hAnsi="Times New Roman" w:cs="Times New Roman"/>
        </w:rPr>
      </w:pPr>
      <w:r w:rsidRPr="000008B1">
        <w:rPr>
          <w:rFonts w:ascii="Times New Roman" w:hAnsi="Times New Roman" w:cs="Times New Roman"/>
        </w:rPr>
        <w:t>The framework's parameters, including factor weights, scoring thresholds, and allocation limits, require periodic review and calibration to ensure continued relevance and effectiveness. This calibration process incorporates both quantitative analysis and qualitative judgment, balancing statistical robustness with practical investment considerations.</w:t>
      </w:r>
    </w:p>
    <w:p w14:paraId="306095AF" w14:textId="77777777" w:rsidR="000008B1" w:rsidRPr="000008B1" w:rsidRDefault="000008B1" w:rsidP="000008B1">
      <w:pPr>
        <w:pStyle w:val="ListParagraph"/>
        <w:jc w:val="both"/>
        <w:rPr>
          <w:rFonts w:ascii="Times New Roman" w:hAnsi="Times New Roman" w:cs="Times New Roman"/>
        </w:rPr>
      </w:pPr>
      <w:r w:rsidRPr="000008B1">
        <w:rPr>
          <w:rFonts w:ascii="Times New Roman" w:hAnsi="Times New Roman" w:cs="Times New Roman"/>
        </w:rPr>
        <w:t>Integration with existing portfolio management systems and processes represents a critical implementation consideration. The framework is designed to complement rather than replace traditional investment analysis, providing a systematic overlay to fundamental research and portfolio construction decisions.</w:t>
      </w:r>
    </w:p>
    <w:p w14:paraId="731869FC" w14:textId="77777777" w:rsidR="000008B1" w:rsidRDefault="000008B1" w:rsidP="00996F2C">
      <w:pPr>
        <w:pStyle w:val="ListParagraph"/>
        <w:jc w:val="both"/>
        <w:rPr>
          <w:rFonts w:ascii="Times New Roman" w:hAnsi="Times New Roman" w:cs="Times New Roman"/>
        </w:rPr>
      </w:pPr>
    </w:p>
    <w:p w14:paraId="521EB3AD" w14:textId="15DB6F6F" w:rsidR="00751B84" w:rsidRPr="00751B84" w:rsidRDefault="00751B84" w:rsidP="00751B84">
      <w:pPr>
        <w:pStyle w:val="ListParagraph"/>
        <w:numPr>
          <w:ilvl w:val="0"/>
          <w:numId w:val="1"/>
        </w:numPr>
        <w:jc w:val="both"/>
        <w:rPr>
          <w:rFonts w:ascii="Times New Roman" w:hAnsi="Times New Roman" w:cs="Times New Roman"/>
          <w:b/>
          <w:bCs/>
        </w:rPr>
      </w:pPr>
      <w:r w:rsidRPr="00751B84">
        <w:rPr>
          <w:rFonts w:ascii="Times New Roman" w:hAnsi="Times New Roman" w:cs="Times New Roman"/>
          <w:b/>
          <w:bCs/>
        </w:rPr>
        <w:t>Conclusion</w:t>
      </w:r>
    </w:p>
    <w:p w14:paraId="7EDFD314" w14:textId="77777777" w:rsidR="00751B84" w:rsidRPr="00751B84" w:rsidRDefault="00751B84" w:rsidP="00751B84">
      <w:pPr>
        <w:pStyle w:val="ListParagraph"/>
        <w:jc w:val="both"/>
        <w:rPr>
          <w:rFonts w:ascii="Times New Roman" w:hAnsi="Times New Roman" w:cs="Times New Roman"/>
        </w:rPr>
      </w:pPr>
      <w:r w:rsidRPr="00751B84">
        <w:rPr>
          <w:rFonts w:ascii="Times New Roman" w:hAnsi="Times New Roman" w:cs="Times New Roman"/>
        </w:rPr>
        <w:t>The Conviction Concentration Framework represents a significant advancement in systematic portfolio management by providing a rigorous, transparent methodology for balancing investment conviction with prudent risk management. The framework's multi-dimensional scoring system and explicit allocation limits offer portfolio managers a powerful tool for navigating the inherent tension between concentration and diversification.</w:t>
      </w:r>
    </w:p>
    <w:p w14:paraId="6BB1A14C" w14:textId="77777777" w:rsidR="00751B84" w:rsidRPr="00751B84" w:rsidRDefault="00751B84" w:rsidP="00751B84">
      <w:pPr>
        <w:pStyle w:val="ListParagraph"/>
        <w:jc w:val="both"/>
        <w:rPr>
          <w:rFonts w:ascii="Times New Roman" w:hAnsi="Times New Roman" w:cs="Times New Roman"/>
        </w:rPr>
      </w:pPr>
      <w:r w:rsidRPr="00751B84">
        <w:rPr>
          <w:rFonts w:ascii="Times New Roman" w:hAnsi="Times New Roman" w:cs="Times New Roman"/>
        </w:rPr>
        <w:t>The CCF's structured approach to investment assessment and position sizing contributes to more disciplined portfolio construction processes and enhanced risk management capabilities. By translating qualitative investment insights into quantitative allocation guidelines, the framework supports more consistent and systematic implementation of investment views while maintaining appropriate risk controls.</w:t>
      </w:r>
    </w:p>
    <w:p w14:paraId="1885C457" w14:textId="77777777" w:rsidR="00751B84" w:rsidRPr="00751B84" w:rsidRDefault="00751B84" w:rsidP="00751B84">
      <w:pPr>
        <w:pStyle w:val="ListParagraph"/>
        <w:jc w:val="both"/>
        <w:rPr>
          <w:rFonts w:ascii="Times New Roman" w:hAnsi="Times New Roman" w:cs="Times New Roman"/>
        </w:rPr>
      </w:pPr>
      <w:r w:rsidRPr="00751B84">
        <w:rPr>
          <w:rFonts w:ascii="Times New Roman" w:hAnsi="Times New Roman" w:cs="Times New Roman"/>
        </w:rPr>
        <w:t>Future enhancements to the framework may include dynamic parameter calibration, incorporation of additional risk factors, and integration with macroeconomic assessment tools. The model's modular architecture supports ongoing development and refinement while maintaining methodological consistency and practical applicability.</w:t>
      </w:r>
    </w:p>
    <w:p w14:paraId="5ECA0E74" w14:textId="77777777" w:rsidR="00751B84" w:rsidRPr="00751B84" w:rsidRDefault="00751B84" w:rsidP="00751B84">
      <w:pPr>
        <w:pStyle w:val="ListParagraph"/>
        <w:jc w:val="both"/>
        <w:rPr>
          <w:rFonts w:ascii="Times New Roman" w:hAnsi="Times New Roman" w:cs="Times New Roman"/>
        </w:rPr>
      </w:pPr>
      <w:r w:rsidRPr="00751B84">
        <w:rPr>
          <w:rFonts w:ascii="Times New Roman" w:hAnsi="Times New Roman" w:cs="Times New Roman"/>
        </w:rPr>
        <w:t>The Conviction Concentration Framework provides a comprehensive solution to one of portfolio management's most persistent challenges, offering a systematic approach to harnessing the benefits of investment conviction while managing the risks of concentration.</w:t>
      </w:r>
    </w:p>
    <w:p w14:paraId="66E1205D" w14:textId="77777777" w:rsidR="00751B84" w:rsidRPr="00B53728" w:rsidRDefault="00751B84" w:rsidP="00996F2C">
      <w:pPr>
        <w:pStyle w:val="ListParagraph"/>
        <w:jc w:val="both"/>
        <w:rPr>
          <w:rFonts w:ascii="Times New Roman" w:hAnsi="Times New Roman" w:cs="Times New Roman"/>
        </w:rPr>
      </w:pPr>
    </w:p>
    <w:sectPr w:rsidR="00751B84" w:rsidRPr="00B537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55F1A"/>
    <w:multiLevelType w:val="hybridMultilevel"/>
    <w:tmpl w:val="A9E676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5158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AAB"/>
    <w:rsid w:val="000008B1"/>
    <w:rsid w:val="000C215C"/>
    <w:rsid w:val="001B53A8"/>
    <w:rsid w:val="001E69E5"/>
    <w:rsid w:val="00274590"/>
    <w:rsid w:val="00304749"/>
    <w:rsid w:val="005E7A4F"/>
    <w:rsid w:val="0061779D"/>
    <w:rsid w:val="006C3CFC"/>
    <w:rsid w:val="00751B84"/>
    <w:rsid w:val="007F616A"/>
    <w:rsid w:val="008E4430"/>
    <w:rsid w:val="00983F03"/>
    <w:rsid w:val="00996F2C"/>
    <w:rsid w:val="009E5680"/>
    <w:rsid w:val="00B1676F"/>
    <w:rsid w:val="00B53728"/>
    <w:rsid w:val="00C2528B"/>
    <w:rsid w:val="00D97EEA"/>
    <w:rsid w:val="00DE7A31"/>
    <w:rsid w:val="00EC4847"/>
    <w:rsid w:val="00F46AAB"/>
    <w:rsid w:val="00FA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A7870"/>
  <w15:chartTrackingRefBased/>
  <w15:docId w15:val="{9068A29F-67B6-440E-A6AF-D58843B8D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6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6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AAB"/>
    <w:rPr>
      <w:rFonts w:eastAsiaTheme="majorEastAsia" w:cstheme="majorBidi"/>
      <w:color w:val="272727" w:themeColor="text1" w:themeTint="D8"/>
    </w:rPr>
  </w:style>
  <w:style w:type="paragraph" w:styleId="Title">
    <w:name w:val="Title"/>
    <w:basedOn w:val="Normal"/>
    <w:next w:val="Normal"/>
    <w:link w:val="TitleChar"/>
    <w:uiPriority w:val="10"/>
    <w:qFormat/>
    <w:rsid w:val="00F46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AAB"/>
    <w:pPr>
      <w:spacing w:before="160"/>
      <w:jc w:val="center"/>
    </w:pPr>
    <w:rPr>
      <w:i/>
      <w:iCs/>
      <w:color w:val="404040" w:themeColor="text1" w:themeTint="BF"/>
    </w:rPr>
  </w:style>
  <w:style w:type="character" w:customStyle="1" w:styleId="QuoteChar">
    <w:name w:val="Quote Char"/>
    <w:basedOn w:val="DefaultParagraphFont"/>
    <w:link w:val="Quote"/>
    <w:uiPriority w:val="29"/>
    <w:rsid w:val="00F46AAB"/>
    <w:rPr>
      <w:i/>
      <w:iCs/>
      <w:color w:val="404040" w:themeColor="text1" w:themeTint="BF"/>
    </w:rPr>
  </w:style>
  <w:style w:type="paragraph" w:styleId="ListParagraph">
    <w:name w:val="List Paragraph"/>
    <w:basedOn w:val="Normal"/>
    <w:uiPriority w:val="34"/>
    <w:qFormat/>
    <w:rsid w:val="00F46AAB"/>
    <w:pPr>
      <w:ind w:left="720"/>
      <w:contextualSpacing/>
    </w:pPr>
  </w:style>
  <w:style w:type="character" w:styleId="IntenseEmphasis">
    <w:name w:val="Intense Emphasis"/>
    <w:basedOn w:val="DefaultParagraphFont"/>
    <w:uiPriority w:val="21"/>
    <w:qFormat/>
    <w:rsid w:val="00F46AAB"/>
    <w:rPr>
      <w:i/>
      <w:iCs/>
      <w:color w:val="0F4761" w:themeColor="accent1" w:themeShade="BF"/>
    </w:rPr>
  </w:style>
  <w:style w:type="paragraph" w:styleId="IntenseQuote">
    <w:name w:val="Intense Quote"/>
    <w:basedOn w:val="Normal"/>
    <w:next w:val="Normal"/>
    <w:link w:val="IntenseQuoteChar"/>
    <w:uiPriority w:val="30"/>
    <w:qFormat/>
    <w:rsid w:val="00F46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AAB"/>
    <w:rPr>
      <w:i/>
      <w:iCs/>
      <w:color w:val="0F4761" w:themeColor="accent1" w:themeShade="BF"/>
    </w:rPr>
  </w:style>
  <w:style w:type="character" w:styleId="IntenseReference">
    <w:name w:val="Intense Reference"/>
    <w:basedOn w:val="DefaultParagraphFont"/>
    <w:uiPriority w:val="32"/>
    <w:qFormat/>
    <w:rsid w:val="00F46A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1599</Words>
  <Characters>9120</Characters>
  <Application>Microsoft Office Word</Application>
  <DocSecurity>0</DocSecurity>
  <Lines>76</Lines>
  <Paragraphs>21</Paragraphs>
  <ScaleCrop>false</ScaleCrop>
  <Company/>
  <LinksUpToDate>false</LinksUpToDate>
  <CharactersWithSpaces>10698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Mishra</dc:creator>
  <cp:keywords/>
  <dc:description/>
  <cp:lastModifiedBy>Aditya Mishra</cp:lastModifiedBy>
  <cp:revision>20</cp:revision>
  <dcterms:created xsi:type="dcterms:W3CDTF">2025-11-30T17:33:00Z</dcterms:created>
  <dcterms:modified xsi:type="dcterms:W3CDTF">2025-11-30T17:44:00Z</dcterms:modified>
</cp:coreProperties>
</file>