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488"/>
        <w:gridCol w:w="2880"/>
      </w:tblGrid>
      <w:tr>
        <w:tc>
          <w:tcPr>
            <w:tcW w:type="dxa" w:w="7488"/>
            <w:tcMar>
              <w:top w:w="60" w:type="dxa"/>
              <w:start w:w="0" w:type="dxa"/>
              <w:bottom w:w="60" w:type="dxa"/>
              <w:end w:w="0" w:type="dxa"/>
            </w:tcMar>
            <w:tcBorders>
              <w:bottom w:val="single" w:sz="18" w:space="0" w:color="2A6F73"/>
            </w:tcBorders>
          </w:tcPr>
          <w:p>
            <w:pPr>
              <w:spacing w:after="20"/>
            </w:pPr>
            <w:r>
              <w:rPr>
                <w:rFonts w:ascii="Aptos Display" w:hAnsi="Aptos Display"/>
                <w:b/>
                <w:color w:val="17324D"/>
                <w:sz w:val="48"/>
              </w:rPr>
              <w:t>ABDULLAH AL MAMUN</w:t>
            </w:r>
          </w:p>
          <w:p>
            <w:pPr>
              <w:spacing w:after="0"/>
            </w:pPr>
            <w:r>
              <w:rPr>
                <w:b/>
                <w:color w:val="2A6F73"/>
                <w:sz w:val="20"/>
              </w:rPr>
              <w:t>Artificial Intelligence • Computer Vision • Self-Supervised Learning</w:t>
            </w:r>
          </w:p>
        </w:tc>
        <w:tc>
          <w:tcPr>
            <w:tcW w:type="dxa" w:w="2880"/>
            <w:tcMar>
              <w:top w:w="60" w:type="dxa"/>
              <w:start w:w="0" w:type="dxa"/>
              <w:bottom w:w="60" w:type="dxa"/>
              <w:end w:w="0" w:type="dxa"/>
            </w:tcMar>
            <w:tcBorders>
              <w:bottom w:val="single" w:sz="18" w:space="0" w:color="2A6F73"/>
            </w:tcBorders>
          </w:tcPr>
          <w:p>
            <w:pPr>
              <w:spacing w:after="20"/>
              <w:jc w:val="right"/>
            </w:pPr>
            <w:r>
              <w:rPr>
                <w:color w:val="1F2933"/>
                <w:sz w:val="17"/>
              </w:rPr>
              <w:t>Brisbane, QLD, Australia</w:t>
              <w:br/>
            </w:r>
            <w:r>
              <w:rPr>
                <w:color w:val="1F2933"/>
                <w:sz w:val="17"/>
              </w:rPr>
              <w:t>+61 420 846 485</w:t>
              <w:br/>
            </w:r>
            <w:r>
              <w:rPr>
                <w:color w:val="1F2933"/>
                <w:sz w:val="17"/>
              </w:rPr>
              <w:t>a.mamun@griffith.edu.au</w:t>
              <w:br/>
            </w:r>
            <w:r>
              <w:rPr>
                <w:color w:val="1F2933"/>
                <w:sz w:val="17"/>
              </w:rPr>
              <w:t>mamun130203@gmail.com</w:t>
              <w:br/>
            </w:r>
          </w:p>
        </w:tc>
      </w:tr>
    </w:tbl>
    <w:p>
      <w:pPr>
        <w:pStyle w:val="CVSection"/>
        <w:pBdr>
          <w:bottom w:val="single" w:sz="10" w:space="1" w:color="2A6F73"/>
        </w:pBdr>
        <w:widowControl/>
      </w:pPr>
      <w:r>
        <w:t>RESEARCH PROFILE</w:t>
      </w:r>
    </w:p>
    <w:p>
      <w:pPr>
        <w:spacing w:after="80" w:line="254" w:lineRule="auto"/>
        <w:widowControl/>
      </w:pPr>
      <w:r>
        <w:rPr>
          <w:sz w:val="18"/>
        </w:rPr>
        <w:t>Artificial intelligence and computer vision researcher undertaking a PhD in the School of Information and Communication Technology at Griffith University, in association with the Commonwealth Scientific and Industrial Research Organisation (CSIRO). Doctoral research focuses on plant disease detection using self-supervised learning, with broader interests in image processing, machine learning and deep learning. Author and co-author of 55 research outputs with 943 Google Scholar citations, including recent first-author publications in Pattern Recognition, Expert Systems with Applications and IEEE Access. Academic experience spans Australian and international higher education, including current teaching appointments at Griffith University and the Australian Institute of Business Intelligence and previous service as Assistant Professor and Chairman at Feni University.</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613"/>
            <w:shd w:fill="F3F6F8"/>
            <w:tcMar>
              <w:top w:w="80" w:type="dxa"/>
              <w:start w:w="55" w:type="dxa"/>
              <w:bottom w:w="70" w:type="dxa"/>
              <w:end w:w="55" w:type="dxa"/>
            </w:tcMar>
            <w:tcBorders>
              <w:right w:val="single" w:sz="4" w:space="0" w:color="FFFFFF"/>
            </w:tcBorders>
          </w:tcPr>
          <w:p>
            <w:pPr>
              <w:spacing w:after="20"/>
              <w:jc w:val="center"/>
            </w:pPr>
            <w:r>
              <w:rPr>
                <w:b/>
                <w:color w:val="17324D"/>
                <w:sz w:val="30"/>
              </w:rPr>
              <w:t>55</w:t>
            </w:r>
          </w:p>
          <w:p>
            <w:pPr>
              <w:spacing w:after="0"/>
              <w:jc w:val="center"/>
            </w:pPr>
            <w:r>
              <w:rPr>
                <w:b/>
                <w:color w:val="687884"/>
                <w:sz w:val="13"/>
              </w:rPr>
              <w:t>RESEARCH OUTPUTS</w:t>
            </w:r>
          </w:p>
        </w:tc>
        <w:tc>
          <w:tcPr>
            <w:tcW w:type="dxa" w:w="2613"/>
            <w:shd w:fill="F3F6F8"/>
            <w:tcMar>
              <w:top w:w="80" w:type="dxa"/>
              <w:start w:w="55" w:type="dxa"/>
              <w:bottom w:w="70" w:type="dxa"/>
              <w:end w:w="55" w:type="dxa"/>
            </w:tcMar>
            <w:tcBorders>
              <w:right w:val="single" w:sz="4" w:space="0" w:color="FFFFFF"/>
            </w:tcBorders>
          </w:tcPr>
          <w:p>
            <w:pPr>
              <w:spacing w:after="20"/>
              <w:jc w:val="center"/>
            </w:pPr>
            <w:r>
              <w:rPr>
                <w:b/>
                <w:color w:val="17324D"/>
                <w:sz w:val="30"/>
              </w:rPr>
              <w:t>943</w:t>
            </w:r>
          </w:p>
          <w:p>
            <w:pPr>
              <w:spacing w:after="0"/>
              <w:jc w:val="center"/>
            </w:pPr>
            <w:r>
              <w:rPr>
                <w:b/>
                <w:color w:val="687884"/>
                <w:sz w:val="13"/>
              </w:rPr>
              <w:t>GOOGLE SCHOLAR CITATIONS</w:t>
            </w:r>
          </w:p>
        </w:tc>
        <w:tc>
          <w:tcPr>
            <w:tcW w:type="dxa" w:w="2613"/>
            <w:shd w:fill="F3F6F8"/>
            <w:tcMar>
              <w:top w:w="80" w:type="dxa"/>
              <w:start w:w="55" w:type="dxa"/>
              <w:bottom w:w="70" w:type="dxa"/>
              <w:end w:w="55" w:type="dxa"/>
            </w:tcMar>
            <w:tcBorders>
              <w:right w:val="single" w:sz="4" w:space="0" w:color="FFFFFF"/>
            </w:tcBorders>
          </w:tcPr>
          <w:p>
            <w:pPr>
              <w:spacing w:after="20"/>
              <w:jc w:val="center"/>
            </w:pPr>
            <w:r>
              <w:rPr>
                <w:b/>
                <w:color w:val="17324D"/>
                <w:sz w:val="30"/>
              </w:rPr>
              <w:t>36</w:t>
            </w:r>
          </w:p>
          <w:p>
            <w:pPr>
              <w:spacing w:after="0"/>
              <w:jc w:val="center"/>
            </w:pPr>
            <w:r>
              <w:rPr>
                <w:b/>
                <w:color w:val="687884"/>
                <w:sz w:val="13"/>
              </w:rPr>
              <w:t>JOURNAL ARTICLES</w:t>
            </w:r>
          </w:p>
        </w:tc>
        <w:tc>
          <w:tcPr>
            <w:tcW w:type="dxa" w:w="2613"/>
            <w:shd w:fill="F3F6F8"/>
            <w:tcMar>
              <w:top w:w="80" w:type="dxa"/>
              <w:start w:w="55" w:type="dxa"/>
              <w:bottom w:w="70" w:type="dxa"/>
              <w:end w:w="55" w:type="dxa"/>
            </w:tcMar>
            <w:tcBorders>
              <w:right w:val="single" w:sz="4" w:space="0" w:color="FFFFFF"/>
            </w:tcBorders>
          </w:tcPr>
          <w:p>
            <w:pPr>
              <w:spacing w:after="20"/>
              <w:jc w:val="center"/>
            </w:pPr>
            <w:r>
              <w:rPr>
                <w:b/>
                <w:color w:val="17324D"/>
                <w:sz w:val="30"/>
              </w:rPr>
              <w:t>1/46</w:t>
            </w:r>
          </w:p>
          <w:p>
            <w:pPr>
              <w:spacing w:after="0"/>
              <w:jc w:val="center"/>
            </w:pPr>
            <w:r>
              <w:rPr>
                <w:b/>
                <w:color w:val="687884"/>
                <w:sz w:val="13"/>
              </w:rPr>
              <w:t>BSc MERIT POSITION</w:t>
            </w:r>
          </w:p>
        </w:tc>
      </w:tr>
    </w:tbl>
    <w:p>
      <w:pPr>
        <w:pStyle w:val="CVSection"/>
        <w:pBdr>
          <w:bottom w:val="single" w:sz="10" w:space="1" w:color="2A6F73"/>
        </w:pBdr>
        <w:widowControl/>
      </w:pPr>
      <w:r>
        <w:t>RESEARCH EXPERTISE</w:t>
      </w:r>
    </w:p>
    <w:tbl>
      <w:tblPr>
        <w:tblW w:type="auto" w:w="0"/>
        <w:jc w:val="center"/>
        <w:tblLayout w:type="fixed"/>
        <w:tblLook w:firstColumn="1" w:firstRow="1" w:lastColumn="0" w:lastRow="0" w:noHBand="0" w:noVBand="1" w:val="04A0"/>
      </w:tblPr>
      <w:tblGrid>
        <w:gridCol w:w="3485"/>
        <w:gridCol w:w="3485"/>
        <w:gridCol w:w="3485"/>
      </w:tblGrid>
      <w:tr>
        <w:tc>
          <w:tcPr>
            <w:tcW w:type="dxa" w:w="3485"/>
            <w:tcMar>
              <w:top w:w="20" w:type="dxa"/>
              <w:start w:w="25" w:type="dxa"/>
              <w:bottom w:w="20" w:type="dxa"/>
              <w:end w:w="25" w:type="dxa"/>
            </w:tcMar>
          </w:tcPr>
          <w:p>
            <w:pPr>
              <w:spacing w:after="0"/>
            </w:pPr>
            <w:r>
              <w:rPr>
                <w:b/>
                <w:color w:val="2A6F73"/>
              </w:rPr>
              <w:t xml:space="preserve">• </w:t>
            </w:r>
            <w:r>
              <w:rPr>
                <w:b/>
                <w:color w:val="1F2933"/>
                <w:sz w:val="17"/>
              </w:rPr>
              <w:t>Self-supervised learning</w:t>
            </w:r>
          </w:p>
        </w:tc>
        <w:tc>
          <w:tcPr>
            <w:tcW w:type="dxa" w:w="3485"/>
            <w:tcMar>
              <w:top w:w="20" w:type="dxa"/>
              <w:start w:w="25" w:type="dxa"/>
              <w:bottom w:w="20" w:type="dxa"/>
              <w:end w:w="25" w:type="dxa"/>
            </w:tcMar>
          </w:tcPr>
          <w:p>
            <w:pPr>
              <w:spacing w:after="0"/>
            </w:pPr>
            <w:r>
              <w:rPr>
                <w:b/>
                <w:color w:val="2A6F73"/>
              </w:rPr>
              <w:t xml:space="preserve">• </w:t>
            </w:r>
            <w:r>
              <w:rPr>
                <w:b/>
                <w:color w:val="1F2933"/>
                <w:sz w:val="17"/>
              </w:rPr>
              <w:t>Computer vision &amp; image processing</w:t>
            </w:r>
          </w:p>
        </w:tc>
        <w:tc>
          <w:tcPr>
            <w:tcW w:type="dxa" w:w="3485"/>
            <w:tcMar>
              <w:top w:w="20" w:type="dxa"/>
              <w:start w:w="25" w:type="dxa"/>
              <w:bottom w:w="20" w:type="dxa"/>
              <w:end w:w="25" w:type="dxa"/>
            </w:tcMar>
          </w:tcPr>
          <w:p>
            <w:pPr>
              <w:spacing w:after="0"/>
            </w:pPr>
            <w:r>
              <w:rPr>
                <w:b/>
                <w:color w:val="2A6F73"/>
              </w:rPr>
              <w:t xml:space="preserve">• </w:t>
            </w:r>
            <w:r>
              <w:rPr>
                <w:b/>
                <w:color w:val="1F2933"/>
                <w:sz w:val="17"/>
              </w:rPr>
              <w:t>Deep learning &amp; machine learning</w:t>
            </w:r>
          </w:p>
        </w:tc>
      </w:tr>
      <w:tr>
        <w:tc>
          <w:tcPr>
            <w:tcW w:type="dxa" w:w="3485"/>
            <w:tcMar>
              <w:top w:w="20" w:type="dxa"/>
              <w:start w:w="25" w:type="dxa"/>
              <w:bottom w:w="20" w:type="dxa"/>
              <w:end w:w="25" w:type="dxa"/>
            </w:tcMar>
          </w:tcPr>
          <w:p>
            <w:pPr>
              <w:spacing w:after="0"/>
            </w:pPr>
            <w:r>
              <w:rPr>
                <w:b/>
                <w:color w:val="2A6F73"/>
              </w:rPr>
              <w:t xml:space="preserve">• </w:t>
            </w:r>
            <w:r>
              <w:rPr>
                <w:b/>
                <w:color w:val="1F2933"/>
                <w:sz w:val="17"/>
              </w:rPr>
              <w:t>Plant disease recognition / AI in agriculture</w:t>
            </w:r>
          </w:p>
        </w:tc>
        <w:tc>
          <w:tcPr>
            <w:tcW w:type="dxa" w:w="3485"/>
            <w:tcMar>
              <w:top w:w="20" w:type="dxa"/>
              <w:start w:w="25" w:type="dxa"/>
              <w:bottom w:w="20" w:type="dxa"/>
              <w:end w:w="25" w:type="dxa"/>
            </w:tcMar>
          </w:tcPr>
          <w:p>
            <w:pPr>
              <w:spacing w:after="0"/>
            </w:pPr>
            <w:r>
              <w:rPr>
                <w:b/>
                <w:color w:val="2A6F73"/>
              </w:rPr>
              <w:t xml:space="preserve">• </w:t>
            </w:r>
            <w:r>
              <w:rPr>
                <w:b/>
                <w:color w:val="1F2933"/>
                <w:sz w:val="17"/>
              </w:rPr>
              <w:t>Image segmentation &amp; classification</w:t>
            </w:r>
          </w:p>
        </w:tc>
        <w:tc>
          <w:tcPr>
            <w:tcW w:type="dxa" w:w="3485"/>
            <w:tcMar>
              <w:top w:w="20" w:type="dxa"/>
              <w:start w:w="25" w:type="dxa"/>
              <w:bottom w:w="20" w:type="dxa"/>
              <w:end w:w="25" w:type="dxa"/>
            </w:tcMar>
          </w:tcPr>
          <w:p>
            <w:pPr>
              <w:spacing w:after="0"/>
            </w:pPr>
            <w:r>
              <w:rPr>
                <w:b/>
                <w:color w:val="2A6F73"/>
              </w:rPr>
              <w:t xml:space="preserve">• </w:t>
            </w:r>
            <w:r>
              <w:rPr>
                <w:b/>
                <w:color w:val="1F2933"/>
                <w:sz w:val="17"/>
              </w:rPr>
              <w:t>Medical image analysis</w:t>
            </w:r>
          </w:p>
        </w:tc>
      </w:tr>
    </w:tbl>
    <w:p>
      <w:pPr>
        <w:pStyle w:val="CVSection"/>
        <w:pBdr>
          <w:bottom w:val="single" w:sz="10" w:space="1" w:color="2A6F73"/>
        </w:pBdr>
        <w:widowControl/>
      </w:pPr>
      <w:r>
        <w:t>ACADEMIC APPOINTMENTS</w:t>
      </w:r>
    </w:p>
    <w:tbl>
      <w:tblPr>
        <w:tblW w:type="auto" w:w="0"/>
        <w:jc w:val="center"/>
        <w:tblLayout w:type="fixed"/>
        <w:tblLook w:firstColumn="1" w:firstRow="1" w:lastColumn="0" w:lastRow="0" w:noHBand="0" w:noVBand="1" w:val="04A0"/>
      </w:tblPr>
      <w:tblGrid>
        <w:gridCol w:w="5227"/>
        <w:gridCol w:w="5227"/>
      </w:tblGrid>
      <w:tr>
        <w:trPr>
          <w:cantSplit/>
        </w:trPr>
        <w:tc>
          <w:tcPr>
            <w:tcW w:type="dxa" w:w="2232"/>
            <w:tcMar>
              <w:top w:w="20" w:type="dxa"/>
              <w:start w:w="20" w:type="dxa"/>
              <w:bottom w:w="20" w:type="dxa"/>
              <w:end w:w="20" w:type="dxa"/>
            </w:tcMar>
          </w:tcPr>
          <w:p>
            <w:r>
              <w:rPr>
                <w:b/>
                <w:color w:val="2A6F73"/>
                <w:sz w:val="16"/>
              </w:rPr>
              <w:t>Sep 2026–Present</w:t>
            </w:r>
          </w:p>
        </w:tc>
        <w:tc>
          <w:tcPr>
            <w:tcW w:type="dxa" w:w="8208"/>
            <w:tcMar>
              <w:top w:w="20" w:type="dxa"/>
              <w:start w:w="20" w:type="dxa"/>
              <w:bottom w:w="20" w:type="dxa"/>
              <w:end w:w="20" w:type="dxa"/>
            </w:tcMar>
          </w:tcPr>
          <w:p>
            <w:pPr>
              <w:spacing w:after="0"/>
            </w:pPr>
            <w:r>
              <w:rPr>
                <w:b/>
                <w:color w:val="17324D"/>
                <w:sz w:val="18"/>
              </w:rPr>
              <w:t>Lecturer, Information Technology</w:t>
            </w:r>
            <w:r>
              <w:rPr>
                <w:color w:val="1F2933"/>
                <w:sz w:val="16"/>
              </w:rPr>
              <w:br/>
              <w:t>Australian Institute of Business Intelligence, Brisbane, Australia</w:t>
            </w:r>
          </w:p>
        </w:tc>
      </w:tr>
      <w:tr>
        <w:trPr>
          <w:cantSplit/>
        </w:trPr>
        <w:tc>
          <w:tcPr>
            <w:tcW w:type="dxa" w:w="2232"/>
            <w:tcMar>
              <w:top w:w="20" w:type="dxa"/>
              <w:start w:w="20" w:type="dxa"/>
              <w:bottom w:w="20" w:type="dxa"/>
              <w:end w:w="20" w:type="dxa"/>
            </w:tcMar>
          </w:tcPr>
          <w:p>
            <w:r>
              <w:rPr>
                <w:b/>
                <w:color w:val="2A6F73"/>
                <w:sz w:val="16"/>
              </w:rPr>
              <w:t>Mar 2026–Present</w:t>
            </w:r>
          </w:p>
        </w:tc>
        <w:tc>
          <w:tcPr>
            <w:tcW w:type="dxa" w:w="8208"/>
            <w:tcMar>
              <w:top w:w="20" w:type="dxa"/>
              <w:start w:w="20" w:type="dxa"/>
              <w:bottom w:w="20" w:type="dxa"/>
              <w:end w:w="20" w:type="dxa"/>
            </w:tcMar>
          </w:tcPr>
          <w:p>
            <w:pPr>
              <w:spacing w:after="0"/>
            </w:pPr>
            <w:r>
              <w:rPr>
                <w:b/>
                <w:color w:val="17324D"/>
                <w:sz w:val="18"/>
              </w:rPr>
              <w:t>HDR Teaching Fellow (Associate Lecturer)</w:t>
            </w:r>
            <w:r>
              <w:rPr>
                <w:color w:val="1F2933"/>
                <w:sz w:val="16"/>
              </w:rPr>
              <w:br/>
              <w:t>School of Information and Communication Technology, Griffith University, Australia</w:t>
            </w:r>
          </w:p>
        </w:tc>
      </w:tr>
      <w:tr>
        <w:trPr>
          <w:cantSplit/>
        </w:trPr>
        <w:tc>
          <w:tcPr>
            <w:tcW w:type="dxa" w:w="2232"/>
            <w:tcMar>
              <w:top w:w="20" w:type="dxa"/>
              <w:start w:w="20" w:type="dxa"/>
              <w:bottom w:w="20" w:type="dxa"/>
              <w:end w:w="20" w:type="dxa"/>
            </w:tcMar>
          </w:tcPr>
          <w:p>
            <w:r>
              <w:rPr>
                <w:b/>
                <w:color w:val="2A6F73"/>
                <w:sz w:val="16"/>
              </w:rPr>
              <w:t>Mar–Jun 2024; Jul–Oct 2025</w:t>
            </w:r>
          </w:p>
        </w:tc>
        <w:tc>
          <w:tcPr>
            <w:tcW w:type="dxa" w:w="8208"/>
            <w:tcMar>
              <w:top w:w="20" w:type="dxa"/>
              <w:start w:w="20" w:type="dxa"/>
              <w:bottom w:w="20" w:type="dxa"/>
              <w:end w:w="20" w:type="dxa"/>
            </w:tcMar>
          </w:tcPr>
          <w:p>
            <w:pPr>
              <w:spacing w:after="0"/>
            </w:pPr>
            <w:r>
              <w:rPr>
                <w:b/>
                <w:color w:val="17324D"/>
                <w:sz w:val="18"/>
              </w:rPr>
              <w:t>Casual Academic</w:t>
            </w:r>
            <w:r>
              <w:rPr>
                <w:color w:val="1F2933"/>
                <w:sz w:val="16"/>
              </w:rPr>
              <w:br/>
              <w:t>School of Information and Communication Technology, Griffith University, Australia</w:t>
            </w:r>
          </w:p>
        </w:tc>
      </w:tr>
      <w:tr>
        <w:trPr>
          <w:cantSplit/>
        </w:trPr>
        <w:tc>
          <w:tcPr>
            <w:tcW w:type="dxa" w:w="2232"/>
            <w:tcMar>
              <w:top w:w="20" w:type="dxa"/>
              <w:start w:w="20" w:type="dxa"/>
              <w:bottom w:w="20" w:type="dxa"/>
              <w:end w:w="20" w:type="dxa"/>
            </w:tcMar>
          </w:tcPr>
          <w:p>
            <w:r>
              <w:rPr>
                <w:b/>
                <w:color w:val="2A6F73"/>
                <w:sz w:val="16"/>
              </w:rPr>
              <w:t>Jan 2023–Jan 2024</w:t>
            </w:r>
          </w:p>
        </w:tc>
        <w:tc>
          <w:tcPr>
            <w:tcW w:type="dxa" w:w="8208"/>
            <w:tcMar>
              <w:top w:w="20" w:type="dxa"/>
              <w:start w:w="20" w:type="dxa"/>
              <w:bottom w:w="20" w:type="dxa"/>
              <w:end w:w="20" w:type="dxa"/>
            </w:tcMar>
          </w:tcPr>
          <w:p>
            <w:pPr>
              <w:spacing w:after="0"/>
            </w:pPr>
            <w:r>
              <w:rPr>
                <w:b/>
                <w:color w:val="17324D"/>
                <w:sz w:val="18"/>
              </w:rPr>
              <w:t>Assistant Professor &amp; Chairman</w:t>
            </w:r>
            <w:r>
              <w:rPr>
                <w:color w:val="1F2933"/>
                <w:sz w:val="16"/>
              </w:rPr>
              <w:br/>
              <w:t>Electrical and Electronic Engineering, Feni University, Bangladesh</w:t>
            </w:r>
          </w:p>
        </w:tc>
      </w:tr>
      <w:tr>
        <w:trPr>
          <w:cantSplit/>
        </w:trPr>
        <w:tc>
          <w:tcPr>
            <w:tcW w:type="dxa" w:w="2232"/>
            <w:tcMar>
              <w:top w:w="20" w:type="dxa"/>
              <w:start w:w="20" w:type="dxa"/>
              <w:bottom w:w="20" w:type="dxa"/>
              <w:end w:w="20" w:type="dxa"/>
            </w:tcMar>
          </w:tcPr>
          <w:p>
            <w:r>
              <w:rPr>
                <w:b/>
                <w:color w:val="2A6F73"/>
                <w:sz w:val="16"/>
              </w:rPr>
              <w:t>Jan 2019–Dec 2022</w:t>
            </w:r>
          </w:p>
        </w:tc>
        <w:tc>
          <w:tcPr>
            <w:tcW w:type="dxa" w:w="8208"/>
            <w:tcMar>
              <w:top w:w="20" w:type="dxa"/>
              <w:start w:w="20" w:type="dxa"/>
              <w:bottom w:w="20" w:type="dxa"/>
              <w:end w:w="20" w:type="dxa"/>
            </w:tcMar>
          </w:tcPr>
          <w:p>
            <w:pPr>
              <w:spacing w:after="0"/>
            </w:pPr>
            <w:r>
              <w:rPr>
                <w:b/>
                <w:color w:val="17324D"/>
                <w:sz w:val="18"/>
              </w:rPr>
              <w:t>Lecturer &amp; Chairman (In-charge, Feb 2021–Dec 2022)</w:t>
            </w:r>
            <w:r>
              <w:rPr>
                <w:color w:val="1F2933"/>
                <w:sz w:val="16"/>
              </w:rPr>
              <w:br/>
              <w:t>Electrical and Electronic Engineering, Feni University, Bangladesh</w:t>
            </w:r>
          </w:p>
        </w:tc>
      </w:tr>
      <w:tr>
        <w:trPr>
          <w:cantSplit/>
        </w:trPr>
        <w:tc>
          <w:tcPr>
            <w:tcW w:type="dxa" w:w="2232"/>
            <w:tcMar>
              <w:top w:w="20" w:type="dxa"/>
              <w:start w:w="20" w:type="dxa"/>
              <w:bottom w:w="20" w:type="dxa"/>
              <w:end w:w="20" w:type="dxa"/>
            </w:tcMar>
          </w:tcPr>
          <w:p>
            <w:r>
              <w:rPr>
                <w:b/>
                <w:color w:val="2A6F73"/>
                <w:sz w:val="16"/>
              </w:rPr>
              <w:t>May–Dec 2018</w:t>
            </w:r>
          </w:p>
        </w:tc>
        <w:tc>
          <w:tcPr>
            <w:tcW w:type="dxa" w:w="8208"/>
            <w:tcMar>
              <w:top w:w="20" w:type="dxa"/>
              <w:start w:w="20" w:type="dxa"/>
              <w:bottom w:w="20" w:type="dxa"/>
              <w:end w:w="20" w:type="dxa"/>
            </w:tcMar>
          </w:tcPr>
          <w:p>
            <w:pPr>
              <w:spacing w:after="0"/>
            </w:pPr>
            <w:r>
              <w:rPr>
                <w:b/>
                <w:color w:val="17324D"/>
                <w:sz w:val="18"/>
              </w:rPr>
              <w:t>Chief Instructor</w:t>
            </w:r>
            <w:r>
              <w:rPr>
                <w:color w:val="1F2933"/>
                <w:sz w:val="16"/>
              </w:rPr>
              <w:br/>
              <w:t>Electrical Department, Mirpur Institute of Science and Technology, Bangladesh</w:t>
            </w:r>
          </w:p>
        </w:tc>
      </w:tr>
    </w:tbl>
    <w:p>
      <w:pPr>
        <w:pStyle w:val="CVSection"/>
        <w:pBdr>
          <w:bottom w:val="single" w:sz="10" w:space="1" w:color="2A6F73"/>
        </w:pBdr>
        <w:widowControl/>
      </w:pPr>
      <w:r>
        <w:t>EDUCATION</w:t>
      </w:r>
    </w:p>
    <w:p>
      <w:pPr>
        <w:spacing w:after="20"/>
        <w:widowControl/>
      </w:pPr>
      <w:r>
        <w:rPr>
          <w:b/>
          <w:color w:val="17324D"/>
          <w:sz w:val="18"/>
        </w:rPr>
        <w:t>Doctor of Philosophy (PhD)</w:t>
      </w:r>
      <w:r>
        <w:rPr>
          <w:b/>
          <w:color w:val="2A6F73"/>
          <w:sz w:val="16"/>
        </w:rPr>
        <w:t xml:space="preserve">   Oct 2023–Present</w:t>
      </w:r>
    </w:p>
    <w:p>
      <w:pPr>
        <w:pStyle w:val="CVSmall"/>
        <w:spacing w:after="0"/>
        <w:ind w:left="144"/>
        <w:widowControl/>
      </w:pPr>
      <w:r>
        <w:rPr>
          <w:b/>
        </w:rPr>
        <w:t>School of Information and Communication Technology, Griffith University, Australia | CSIRO</w:t>
      </w:r>
    </w:p>
    <w:p>
      <w:pPr>
        <w:pStyle w:val="CVSmall"/>
        <w:spacing w:after="0"/>
        <w:ind w:left="144"/>
        <w:widowControl/>
      </w:pPr>
      <w:r>
        <w:t>Thesis: Plant Disease Detection Using Self-Supervised Learning</w:t>
      </w:r>
    </w:p>
    <w:p>
      <w:pPr>
        <w:pStyle w:val="CVMeta"/>
        <w:spacing w:after="30"/>
        <w:ind w:left="144"/>
        <w:widowControl/>
      </w:pPr>
      <w:r>
        <w:t>Supervisor: Dr Mohammad Awrangjeb</w:t>
      </w:r>
    </w:p>
    <w:p>
      <w:pPr>
        <w:spacing w:after="20"/>
        <w:widowControl/>
      </w:pPr>
      <w:r>
        <w:rPr>
          <w:b/>
          <w:color w:val="17324D"/>
          <w:sz w:val="18"/>
        </w:rPr>
        <w:t>Master of Engineering Science (By Research)</w:t>
      </w:r>
      <w:r>
        <w:rPr>
          <w:b/>
          <w:color w:val="2A6F73"/>
          <w:sz w:val="16"/>
        </w:rPr>
        <w:t xml:space="preserve">   Sep 2019–Jun 2021</w:t>
      </w:r>
    </w:p>
    <w:p>
      <w:pPr>
        <w:pStyle w:val="CVSmall"/>
        <w:spacing w:after="0"/>
        <w:ind w:left="144"/>
        <w:widowControl/>
      </w:pPr>
      <w:r>
        <w:rPr>
          <w:b/>
        </w:rPr>
        <w:t>Multimedia University, Malaysia</w:t>
      </w:r>
    </w:p>
    <w:p>
      <w:pPr>
        <w:pStyle w:val="CVSmall"/>
        <w:spacing w:after="0"/>
        <w:ind w:left="144"/>
        <w:widowControl/>
      </w:pPr>
      <w:r>
        <w:t>Thesis: Lane Markings Detection Using Encode-Decode Instance Segmentation Network</w:t>
      </w:r>
    </w:p>
    <w:p>
      <w:pPr>
        <w:pStyle w:val="CVMeta"/>
        <w:spacing w:after="30"/>
        <w:ind w:left="144"/>
        <w:widowControl/>
      </w:pPr>
      <w:r>
        <w:t>Supervisor: Dr Em Poh Ping</w:t>
      </w:r>
    </w:p>
    <w:p>
      <w:pPr>
        <w:spacing w:after="20"/>
        <w:widowControl/>
      </w:pPr>
      <w:r>
        <w:rPr>
          <w:b/>
          <w:color w:val="17324D"/>
          <w:sz w:val="18"/>
        </w:rPr>
        <w:t>Bachelor of Science, Electrical and Electronic Engineering</w:t>
      </w:r>
      <w:r>
        <w:rPr>
          <w:b/>
          <w:color w:val="2A6F73"/>
          <w:sz w:val="16"/>
        </w:rPr>
        <w:t xml:space="preserve">   Jan 2013–Oct 2018</w:t>
      </w:r>
    </w:p>
    <w:p>
      <w:pPr>
        <w:pStyle w:val="CVSmall"/>
        <w:spacing w:after="0"/>
        <w:ind w:left="144"/>
        <w:widowControl/>
      </w:pPr>
      <w:r>
        <w:rPr>
          <w:b/>
        </w:rPr>
        <w:t>Pabna University of Science &amp; Technology, Bangladesh</w:t>
      </w:r>
    </w:p>
    <w:p>
      <w:pPr>
        <w:pStyle w:val="CVSmall"/>
        <w:spacing w:after="0"/>
        <w:ind w:left="144"/>
        <w:widowControl/>
      </w:pPr>
      <w:r>
        <w:t>CGPA: 3.87/4.00 | 89.08% | Merit position: 1/46</w:t>
      </w:r>
    </w:p>
    <w:p>
      <w:pPr>
        <w:pStyle w:val="CVMeta"/>
        <w:spacing w:after="30"/>
        <w:ind w:left="144"/>
        <w:widowControl/>
      </w:pPr>
      <w:r>
        <w:t>Thesis: Small Intestine Bleeding Detection Using Wireless Capsule Endoscopy (WCE)</w:t>
      </w:r>
    </w:p>
    <w:p>
      <w:pPr>
        <w:widowControl/>
      </w:pPr>
      <w:r>
        <w:br w:type="page"/>
      </w:r>
    </w:p>
    <w:p>
      <w:pPr>
        <w:pStyle w:val="CVSection"/>
        <w:pBdr>
          <w:bottom w:val="single" w:sz="10" w:space="1" w:color="2A6F73"/>
        </w:pBdr>
        <w:widowControl/>
      </w:pPr>
      <w:r>
        <w:t>SELECTED RESEARCH HIGHLIGHTS</w:t>
      </w:r>
    </w:p>
    <w:p>
      <w:pPr>
        <w:spacing w:after="60"/>
        <w:ind w:left="115" w:hanging="115"/>
        <w:widowControl/>
      </w:pPr>
      <w:r>
        <w:rPr>
          <w:color w:val="2A6F73"/>
        </w:rPr>
        <w:t xml:space="preserve">● </w:t>
      </w:r>
      <w:r>
        <w:rPr>
          <w:b/>
          <w:color w:val="17324D"/>
        </w:rPr>
        <w:t xml:space="preserve">ConMamba: </w:t>
      </w:r>
      <w:r>
        <w:rPr>
          <w:sz w:val="17"/>
        </w:rPr>
        <w:t xml:space="preserve">Contrastive vision Mamba for plant disease detection. </w:t>
      </w:r>
      <w:r>
        <w:rPr>
          <w:i/>
          <w:sz w:val="17"/>
        </w:rPr>
        <w:t xml:space="preserve">Pattern Recognition, 176, 113177 (2026). </w:t>
      </w:r>
      <w:hyperlink r:id="rId11">
        <w:r>
          <w:rPr>
            <w:color w:val="2A6F73"/>
            <w:u w:val="single"/>
          </w:rPr>
          <w:t>DOI / link</w:t>
        </w:r>
      </w:hyperlink>
    </w:p>
    <w:p>
      <w:pPr>
        <w:spacing w:after="60"/>
        <w:ind w:left="115" w:hanging="115"/>
        <w:widowControl/>
      </w:pPr>
      <w:r>
        <w:rPr>
          <w:color w:val="2A6F73"/>
        </w:rPr>
        <w:t xml:space="preserve">● </w:t>
      </w:r>
      <w:r>
        <w:rPr>
          <w:b/>
          <w:color w:val="17324D"/>
        </w:rPr>
        <w:t xml:space="preserve">PSMamba: </w:t>
      </w:r>
      <w:r>
        <w:rPr>
          <w:sz w:val="17"/>
        </w:rPr>
        <w:t xml:space="preserve">Progressive Self-supervised Vision Mamba for Plant Disease Recognition. </w:t>
      </w:r>
      <w:r>
        <w:rPr>
          <w:i/>
          <w:sz w:val="17"/>
        </w:rPr>
        <w:t xml:space="preserve">Expert Systems with Applications, 133775 (2026). </w:t>
      </w:r>
      <w:hyperlink r:id="rId12">
        <w:r>
          <w:rPr>
            <w:color w:val="2A6F73"/>
            <w:u w:val="single"/>
          </w:rPr>
          <w:t>DOI / link</w:t>
        </w:r>
      </w:hyperlink>
    </w:p>
    <w:p>
      <w:pPr>
        <w:spacing w:after="60"/>
        <w:ind w:left="115" w:hanging="115"/>
        <w:widowControl/>
      </w:pPr>
      <w:r>
        <w:rPr>
          <w:color w:val="2A6F73"/>
        </w:rPr>
        <w:t xml:space="preserve">● </w:t>
      </w:r>
      <w:r>
        <w:rPr>
          <w:b/>
          <w:color w:val="17324D"/>
        </w:rPr>
        <w:t xml:space="preserve">Plant Disease Detection Using Self-supervised Learning: </w:t>
      </w:r>
      <w:r>
        <w:rPr>
          <w:sz w:val="17"/>
        </w:rPr>
        <w:t xml:space="preserve">A systematic review of self-supervised learning for plant disease detection. </w:t>
      </w:r>
      <w:r>
        <w:rPr>
          <w:i/>
          <w:sz w:val="17"/>
        </w:rPr>
        <w:t xml:space="preserve">IEEE Access (2024). </w:t>
      </w:r>
      <w:hyperlink r:id="rId13">
        <w:r>
          <w:rPr>
            <w:color w:val="2A6F73"/>
            <w:u w:val="single"/>
          </w:rPr>
          <w:t>DOI / link</w:t>
        </w:r>
      </w:hyperlink>
    </w:p>
    <w:p>
      <w:pPr>
        <w:spacing w:after="60"/>
        <w:ind w:left="115" w:hanging="115"/>
        <w:widowControl/>
      </w:pPr>
      <w:r>
        <w:rPr>
          <w:color w:val="2A6F73"/>
        </w:rPr>
        <w:t xml:space="preserve">● </w:t>
      </w:r>
      <w:r>
        <w:rPr>
          <w:b/>
          <w:color w:val="17324D"/>
        </w:rPr>
        <w:t xml:space="preserve">StateSpace-SSL: </w:t>
      </w:r>
      <w:r>
        <w:rPr>
          <w:sz w:val="17"/>
        </w:rPr>
        <w:t xml:space="preserve">Linear-Time Self-supervised Learning for Plant Disease Detection. </w:t>
      </w:r>
      <w:r>
        <w:rPr>
          <w:i/>
          <w:sz w:val="17"/>
        </w:rPr>
        <w:t xml:space="preserve">AAAI 2026 AgriAI Workshop, accepted and presented. </w:t>
      </w:r>
      <w:hyperlink r:id="rId14">
        <w:r>
          <w:rPr>
            <w:color w:val="2A6F73"/>
            <w:u w:val="single"/>
          </w:rPr>
          <w:t>DOI / link</w:t>
        </w:r>
      </w:hyperlink>
    </w:p>
    <w:p>
      <w:pPr>
        <w:pStyle w:val="CVSection"/>
        <w:pBdr>
          <w:bottom w:val="single" w:sz="10" w:space="1" w:color="2A6F73"/>
        </w:pBdr>
        <w:widowControl/>
      </w:pPr>
      <w:r>
        <w:t>SCHOLARSHIPS, GRANTS &amp; ACADEMIC RECOGNITION</w:t>
      </w:r>
    </w:p>
    <w:p>
      <w:pPr>
        <w:spacing w:after="34"/>
        <w:ind w:left="173" w:hanging="173"/>
        <w:widowControl/>
      </w:pPr>
      <w:r>
        <w:rPr>
          <w:b/>
          <w:color w:val="2A6F73"/>
          <w:sz w:val="16"/>
        </w:rPr>
        <w:t xml:space="preserve">2023–2026   </w:t>
      </w:r>
      <w:r>
        <w:rPr>
          <w:sz w:val="17"/>
        </w:rPr>
        <w:t>Griffith University International Postgraduate Research Scholarship, Australia</w:t>
      </w:r>
    </w:p>
    <w:p>
      <w:pPr>
        <w:spacing w:after="34"/>
        <w:ind w:left="173" w:hanging="173"/>
        <w:widowControl/>
      </w:pPr>
      <w:r>
        <w:rPr>
          <w:b/>
          <w:color w:val="2A6F73"/>
          <w:sz w:val="16"/>
        </w:rPr>
        <w:t xml:space="preserve">2023–2026   </w:t>
      </w:r>
      <w:r>
        <w:rPr>
          <w:sz w:val="17"/>
        </w:rPr>
        <w:t>Griffith University Postgraduate Research Scholarship, Australia</w:t>
      </w:r>
    </w:p>
    <w:p>
      <w:pPr>
        <w:spacing w:after="34"/>
        <w:ind w:left="173" w:hanging="173"/>
        <w:widowControl/>
      </w:pPr>
      <w:r>
        <w:rPr>
          <w:b/>
          <w:color w:val="2A6F73"/>
          <w:sz w:val="16"/>
        </w:rPr>
        <w:t xml:space="preserve">2023–2026   </w:t>
      </w:r>
      <w:r>
        <w:rPr>
          <w:sz w:val="17"/>
        </w:rPr>
        <w:t>CSIRO Top-Up Scholarship, Australia</w:t>
      </w:r>
    </w:p>
    <w:p>
      <w:pPr>
        <w:spacing w:after="34"/>
        <w:ind w:left="173" w:hanging="173"/>
        <w:widowControl/>
      </w:pPr>
      <w:r>
        <w:rPr>
          <w:b/>
          <w:color w:val="2A6F73"/>
          <w:sz w:val="16"/>
        </w:rPr>
        <w:t xml:space="preserve">2021   </w:t>
      </w:r>
      <w:r>
        <w:rPr>
          <w:sz w:val="17"/>
        </w:rPr>
        <w:t>Fi Sabilillah Research Development Grant Scheme (FRDGS), Malaysia</w:t>
      </w:r>
    </w:p>
    <w:p>
      <w:pPr>
        <w:spacing w:after="34"/>
        <w:ind w:left="173" w:hanging="173"/>
        <w:widowControl/>
      </w:pPr>
      <w:r>
        <w:rPr>
          <w:b/>
          <w:color w:val="2A6F73"/>
          <w:sz w:val="16"/>
        </w:rPr>
        <w:t xml:space="preserve">2019–2020   </w:t>
      </w:r>
      <w:r>
        <w:rPr>
          <w:sz w:val="17"/>
        </w:rPr>
        <w:t>Fundamental Research Grant Scheme (FRGS), Malaysia</w:t>
      </w:r>
    </w:p>
    <w:p>
      <w:pPr>
        <w:spacing w:after="34"/>
        <w:ind w:left="173" w:hanging="173"/>
        <w:widowControl/>
      </w:pPr>
      <w:r>
        <w:rPr>
          <w:b/>
          <w:color w:val="2A6F73"/>
          <w:sz w:val="16"/>
        </w:rPr>
        <w:t xml:space="preserve">2019–2020   </w:t>
      </w:r>
      <w:r>
        <w:rPr>
          <w:sz w:val="17"/>
        </w:rPr>
        <w:t>Multimedia University Internal Grant, Malaysia</w:t>
      </w:r>
    </w:p>
    <w:p>
      <w:pPr>
        <w:spacing w:after="34"/>
        <w:ind w:left="173" w:hanging="173"/>
        <w:widowControl/>
      </w:pPr>
      <w:r>
        <w:rPr>
          <w:b/>
          <w:color w:val="2A6F73"/>
          <w:sz w:val="16"/>
        </w:rPr>
        <w:t xml:space="preserve">2018   </w:t>
      </w:r>
      <w:r>
        <w:rPr>
          <w:sz w:val="17"/>
        </w:rPr>
        <w:t>Academic and Research Excellence Grant, EEE Samity, PUST</w:t>
      </w:r>
    </w:p>
    <w:p>
      <w:pPr>
        <w:pStyle w:val="CVSection"/>
        <w:pBdr>
          <w:bottom w:val="single" w:sz="10" w:space="1" w:color="2A6F73"/>
        </w:pBdr>
        <w:widowControl/>
      </w:pPr>
      <w:r>
        <w:t>PUBLICATIONS</w:t>
      </w:r>
    </w:p>
    <w:p>
      <w:pPr>
        <w:pStyle w:val="CVSubsection"/>
        <w:keepNext/>
        <w:widowControl/>
      </w:pPr>
      <w:r>
        <w:t>Peer-reviewed journal articles (36)</w:t>
      </w:r>
    </w:p>
    <w:p>
      <w:pPr>
        <w:spacing w:after="25" w:line="235" w:lineRule="auto"/>
        <w:ind w:left="331" w:hanging="331"/>
        <w:widowControl/>
      </w:pPr>
      <w:r>
        <w:rPr>
          <w:b/>
          <w:color w:val="2A6F73"/>
          <w:sz w:val="16"/>
        </w:rPr>
        <w:t xml:space="preserve">1. </w:t>
      </w:r>
      <w:r>
        <w:rPr>
          <w:b/>
          <w:color w:val="17324D"/>
          <w:sz w:val="16"/>
        </w:rPr>
        <w:t>A. A. Mamun</w:t>
      </w:r>
      <w:r>
        <w:rPr>
          <w:color w:val="1F2933"/>
          <w:sz w:val="16"/>
        </w:rPr>
        <w:t>, M. Zhang, D. Ahmedt-Aristizabal, Z. Hayder, and M. Awrangjeb, “ConMamba: Contrastive vision Mamba for plant disease detection,” Pattern Recognition, vol. 176, p. 113177, Feb. 2026, doi: https://doi.org/10.1016/j.patcog.2026.113177.‌</w:t>
      </w:r>
    </w:p>
    <w:p>
      <w:pPr>
        <w:spacing w:after="25" w:line="235" w:lineRule="auto"/>
        <w:ind w:left="331" w:hanging="331"/>
        <w:widowControl/>
      </w:pPr>
      <w:r>
        <w:rPr>
          <w:b/>
          <w:color w:val="2A6F73"/>
          <w:sz w:val="16"/>
        </w:rPr>
        <w:t xml:space="preserve">2. </w:t>
      </w:r>
      <w:r>
        <w:rPr>
          <w:b/>
          <w:color w:val="17324D"/>
          <w:sz w:val="16"/>
        </w:rPr>
        <w:t>A. Al Mamun</w:t>
      </w:r>
      <w:r>
        <w:rPr>
          <w:color w:val="1F2933"/>
          <w:sz w:val="16"/>
        </w:rPr>
        <w:t>, D. Ahmedt-Aristizabal, M. Zhang, M. I. Hossen, Z. Hayder, and M. Awrangjeb, “Plant Disease Detection Using Self-supervised Learning: A Systematic Review,” IEEE Access, 2024, doi: 10.1109/ACCESS.2024.3475819.</w:t>
      </w:r>
    </w:p>
    <w:p>
      <w:pPr>
        <w:spacing w:after="25" w:line="235" w:lineRule="auto"/>
        <w:ind w:left="331" w:hanging="331"/>
        <w:widowControl/>
      </w:pPr>
      <w:r>
        <w:rPr>
          <w:b/>
          <w:color w:val="2A6F73"/>
          <w:sz w:val="16"/>
        </w:rPr>
        <w:t xml:space="preserve">3. </w:t>
      </w:r>
      <w:r>
        <w:rPr>
          <w:color w:val="1F2933"/>
          <w:sz w:val="16"/>
        </w:rPr>
        <w:t xml:space="preserve">M. I. Hossen, M. Awrangjeb, S. Pan, and </w:t>
      </w:r>
      <w:r>
        <w:rPr>
          <w:b/>
          <w:color w:val="17324D"/>
          <w:sz w:val="16"/>
        </w:rPr>
        <w:t>A. A. Mamun</w:t>
      </w:r>
      <w:r>
        <w:rPr>
          <w:color w:val="1F2933"/>
          <w:sz w:val="16"/>
        </w:rPr>
        <w:t>, ‘‘Transfer learning in agriculture: a review,’’ Artificial Intelligence Review, vol. 58, pp. 1–37, 4 2025, https://link.springer.com/article/ 10.1007/s10462-024-11081-x</w:t>
      </w:r>
    </w:p>
    <w:p>
      <w:pPr>
        <w:spacing w:after="25" w:line="235" w:lineRule="auto"/>
        <w:ind w:left="331" w:hanging="331"/>
        <w:widowControl/>
      </w:pPr>
      <w:r>
        <w:rPr>
          <w:b/>
          <w:color w:val="2A6F73"/>
          <w:sz w:val="16"/>
        </w:rPr>
        <w:t xml:space="preserve">4. </w:t>
      </w:r>
      <w:r>
        <w:rPr>
          <w:b/>
          <w:color w:val="17324D"/>
          <w:sz w:val="16"/>
        </w:rPr>
        <w:t>A. Al Mamun</w:t>
      </w:r>
      <w:r>
        <w:rPr>
          <w:color w:val="1F2933"/>
          <w:sz w:val="16"/>
        </w:rPr>
        <w:t>, M. Zhang, D. Ahmedt-Aristizabal, Z. Hayder, and M. Awrangjeb, “PSMamba: Progressive Self-supervised Vision Mamba for Plant Disease Recognition,” Expert Systems with Applications, p. 133775, July 2026, doi: 10.1016/j.eswa.2026.133775.</w:t>
      </w:r>
    </w:p>
    <w:p>
      <w:pPr>
        <w:spacing w:after="25" w:line="235" w:lineRule="auto"/>
        <w:ind w:left="331" w:hanging="331"/>
        <w:widowControl/>
      </w:pPr>
      <w:r>
        <w:rPr>
          <w:b/>
          <w:color w:val="2A6F73"/>
          <w:sz w:val="16"/>
        </w:rPr>
        <w:t xml:space="preserve">5. </w:t>
      </w:r>
      <w:r>
        <w:rPr>
          <w:b/>
          <w:color w:val="17324D"/>
          <w:sz w:val="16"/>
        </w:rPr>
        <w:t>A. Al Mamun</w:t>
      </w:r>
      <w:r>
        <w:rPr>
          <w:color w:val="1F2933"/>
          <w:sz w:val="16"/>
        </w:rPr>
        <w:t>, E. Poh Ping, J. Hossen, A. Tahabilder, and B. Jahan, “A Comprehensive Review on Lane Marking Detection Using Deep Neural Networks,” Sensors 2022, Vol. 22, Page 7682, vol. 22, no. 19, p. 7682, Oct. 2022, doi: 10.3390/S22197682.</w:t>
      </w:r>
    </w:p>
    <w:p>
      <w:pPr>
        <w:spacing w:after="25" w:line="235" w:lineRule="auto"/>
        <w:ind w:left="331" w:hanging="331"/>
        <w:widowControl/>
      </w:pPr>
      <w:r>
        <w:rPr>
          <w:b/>
          <w:color w:val="2A6F73"/>
          <w:sz w:val="16"/>
        </w:rPr>
        <w:t xml:space="preserve">6. </w:t>
      </w:r>
      <w:r>
        <w:rPr>
          <w:b/>
          <w:color w:val="17324D"/>
          <w:sz w:val="16"/>
        </w:rPr>
        <w:t>A. Al Mamun</w:t>
      </w:r>
      <w:r>
        <w:rPr>
          <w:color w:val="1F2933"/>
          <w:sz w:val="16"/>
        </w:rPr>
        <w:t>, Ping, E. P., Hossen, M. J., Tahabilder, A., &amp; Jahan, B. (2023). A deep learning approach for lane marking detection applying encode-decode instant segmentation network. Heliyon, e14212. https://doi.org/10.1016/j.heliyon.2023.e14212</w:t>
      </w:r>
    </w:p>
    <w:p>
      <w:pPr>
        <w:spacing w:after="25" w:line="235" w:lineRule="auto"/>
        <w:ind w:left="331" w:hanging="331"/>
        <w:widowControl/>
      </w:pPr>
      <w:r>
        <w:rPr>
          <w:b/>
          <w:color w:val="2A6F73"/>
          <w:sz w:val="16"/>
        </w:rPr>
        <w:t xml:space="preserve">7. </w:t>
      </w:r>
      <w:r>
        <w:rPr>
          <w:color w:val="1F2933"/>
          <w:sz w:val="16"/>
        </w:rPr>
        <w:t xml:space="preserve">B. U. Mahmud, G. Y. Hong, </w:t>
      </w:r>
      <w:r>
        <w:rPr>
          <w:b/>
          <w:color w:val="17324D"/>
          <w:sz w:val="16"/>
        </w:rPr>
        <w:t>A. Al Mamun</w:t>
      </w:r>
      <w:r>
        <w:rPr>
          <w:color w:val="1F2933"/>
          <w:sz w:val="16"/>
        </w:rPr>
        <w:t>, E. P. Ping, and Q. Wu, “Deep Learning-Based Segmentation of 3D Volumetric Image and Microstructural Analysis,” Sensors 2023, Vol. 23, Page 2640, vol. 23, no. 5, p. 2640, Feb. 2023, doi: 10.3390/S23052640.</w:t>
      </w:r>
    </w:p>
    <w:p>
      <w:pPr>
        <w:spacing w:after="25" w:line="235" w:lineRule="auto"/>
        <w:ind w:left="331" w:hanging="331"/>
        <w:widowControl/>
      </w:pPr>
      <w:r>
        <w:rPr>
          <w:b/>
          <w:color w:val="2A6F73"/>
          <w:sz w:val="16"/>
        </w:rPr>
        <w:t xml:space="preserve">8. </w:t>
      </w:r>
      <w:r>
        <w:rPr>
          <w:color w:val="1F2933"/>
          <w:sz w:val="16"/>
        </w:rPr>
        <w:t xml:space="preserve">B. U. Mahmud, </w:t>
      </w:r>
      <w:r>
        <w:rPr>
          <w:b/>
          <w:color w:val="17324D"/>
          <w:sz w:val="16"/>
        </w:rPr>
        <w:t>A. Al Mamun</w:t>
      </w:r>
      <w:r>
        <w:rPr>
          <w:color w:val="1F2933"/>
          <w:sz w:val="16"/>
        </w:rPr>
        <w:t>, M. J. Hossen, G. Y. Hong, and B. Jahan, “Light-Weight Deep Learning Model for Accelerating the Classification of Mango-Leaf Disease,” Emerg. Sci. J., vol. 8, no. 1, pp. 28–42, Feb. 2024, doi: 10.28991/ESJ-2024-08-01-03.</w:t>
      </w:r>
    </w:p>
    <w:p>
      <w:pPr>
        <w:spacing w:after="25" w:line="235" w:lineRule="auto"/>
        <w:ind w:left="331" w:hanging="331"/>
        <w:widowControl/>
      </w:pPr>
      <w:r>
        <w:rPr>
          <w:b/>
          <w:color w:val="2A6F73"/>
          <w:sz w:val="16"/>
        </w:rPr>
        <w:t xml:space="preserve">9. </w:t>
      </w:r>
      <w:r>
        <w:rPr>
          <w:color w:val="1F2933"/>
          <w:sz w:val="16"/>
        </w:rPr>
        <w:t xml:space="preserve">A. Musha, R. Hasnat, </w:t>
      </w:r>
      <w:r>
        <w:rPr>
          <w:b/>
          <w:color w:val="17324D"/>
          <w:sz w:val="16"/>
        </w:rPr>
        <w:t>A. Al Mamun</w:t>
      </w:r>
      <w:r>
        <w:rPr>
          <w:color w:val="1F2933"/>
          <w:sz w:val="16"/>
        </w:rPr>
        <w:t>, E. P. Ping, and T. Ghosh, “Computer-Aided Bleeding Detection Algorithms for Capsule Endoscopy: A Systematic Review,” Sensors 2023, Vol. 23, Page 7170, vol. 23, no. 16, p. 7170, Aug. 2023, doi: 10.3390/S23167170.</w:t>
      </w:r>
    </w:p>
    <w:p>
      <w:pPr>
        <w:spacing w:after="25" w:line="235" w:lineRule="auto"/>
        <w:ind w:left="331" w:hanging="331"/>
        <w:widowControl/>
      </w:pPr>
      <w:r>
        <w:rPr>
          <w:b/>
          <w:color w:val="2A6F73"/>
          <w:sz w:val="16"/>
        </w:rPr>
        <w:t xml:space="preserve">10. </w:t>
      </w:r>
      <w:r>
        <w:rPr>
          <w:color w:val="1F2933"/>
          <w:sz w:val="16"/>
        </w:rPr>
        <w:t xml:space="preserve">M. Shahriar Zaman Abid, B. Jahan, </w:t>
      </w:r>
      <w:r>
        <w:rPr>
          <w:b/>
          <w:color w:val="17324D"/>
          <w:sz w:val="16"/>
        </w:rPr>
        <w:t>A. Al Mamun</w:t>
      </w:r>
      <w:r>
        <w:rPr>
          <w:color w:val="1F2933"/>
          <w:sz w:val="16"/>
        </w:rPr>
        <w:t>, M. Jakir Hossen, and S. Hossain Mazumder, “Bangladeshi crops leaf disease detection using YOLOv8,” Heliyon, vol. 10, no. 18, Sep. 2024, doi: 10.1016/j.heliyon.2024.e36694.</w:t>
      </w:r>
    </w:p>
    <w:p>
      <w:pPr>
        <w:spacing w:after="25" w:line="235" w:lineRule="auto"/>
        <w:ind w:left="331" w:hanging="331"/>
        <w:widowControl/>
      </w:pPr>
      <w:r>
        <w:rPr>
          <w:b/>
          <w:color w:val="2A6F73"/>
          <w:sz w:val="16"/>
        </w:rPr>
        <w:t xml:space="preserve">11. </w:t>
      </w:r>
      <w:r>
        <w:rPr>
          <w:color w:val="1F2933"/>
          <w:sz w:val="16"/>
        </w:rPr>
        <w:t xml:space="preserve">Md. F. Ali, Md. R. I. Sheikh, </w:t>
      </w:r>
      <w:r>
        <w:rPr>
          <w:b/>
          <w:color w:val="17324D"/>
          <w:sz w:val="16"/>
        </w:rPr>
        <w:t>A. A. Mamun</w:t>
      </w:r>
      <w:r>
        <w:rPr>
          <w:color w:val="1F2933"/>
          <w:sz w:val="16"/>
        </w:rPr>
        <w:t>, and Md. J. Hossen, “Techno-Economic, Predictive Modeling, and Demand Response Analysis of a Renewable Energy-Based Microgrid for Residential Applications,” IEEE Access, vol. 13, pp. 53748–53771, 2025, doi: https://doi.org/10.1109/ACCESS.2025.3552056.</w:t>
      </w:r>
    </w:p>
    <w:p>
      <w:pPr>
        <w:spacing w:after="25" w:line="235" w:lineRule="auto"/>
        <w:ind w:left="331" w:hanging="331"/>
        <w:widowControl/>
      </w:pPr>
      <w:r>
        <w:rPr>
          <w:b/>
          <w:color w:val="2A6F73"/>
          <w:sz w:val="16"/>
        </w:rPr>
        <w:t xml:space="preserve">12. </w:t>
      </w:r>
      <w:r>
        <w:rPr>
          <w:color w:val="1F2933"/>
          <w:sz w:val="16"/>
        </w:rPr>
        <w:t xml:space="preserve">M. I. Hossen, M. Awrangjeb, S. Pan, M. A. Islam, and </w:t>
      </w:r>
      <w:r>
        <w:rPr>
          <w:b/>
          <w:color w:val="17324D"/>
          <w:sz w:val="16"/>
        </w:rPr>
        <w:t>A. A. Mamun</w:t>
      </w:r>
      <w:r>
        <w:rPr>
          <w:color w:val="1F2933"/>
          <w:sz w:val="16"/>
        </w:rPr>
        <w:t>, “MFDP-LeafNet: A few-shot learning method for plant species classification using multi-feature and historical dynamic prototypical network,” Multimedia Tools and Applications, vol. 85, no. 4, Apr. 2026, doi: https://doi.org/10.1007/s11042-026-21554-6. ‌</w:t>
      </w:r>
    </w:p>
    <w:p>
      <w:pPr>
        <w:spacing w:after="25" w:line="235" w:lineRule="auto"/>
        <w:ind w:left="331" w:hanging="331"/>
        <w:widowControl/>
      </w:pPr>
      <w:r>
        <w:rPr>
          <w:b/>
          <w:color w:val="2A6F73"/>
          <w:sz w:val="16"/>
        </w:rPr>
        <w:t xml:space="preserve">13. </w:t>
      </w:r>
      <w:r>
        <w:rPr>
          <w:color w:val="1F2933"/>
          <w:sz w:val="16"/>
        </w:rPr>
        <w:t xml:space="preserve">M. J. Hossen, T. T. Ramanathan, and </w:t>
      </w:r>
      <w:r>
        <w:rPr>
          <w:b/>
          <w:color w:val="17324D"/>
          <w:sz w:val="16"/>
        </w:rPr>
        <w:t>A. Al Mamun</w:t>
      </w:r>
      <w:r>
        <w:rPr>
          <w:color w:val="1F2933"/>
          <w:sz w:val="16"/>
        </w:rPr>
        <w:t>, “An Ensemble Feature Selection Approach-Based Machine Learning Classifiers for Prediction of COVID-19 Disease,” Int. J. Telemed. Appl., vol. 2024, 2024, doi: 10.1155/2024/8188904.</w:t>
      </w:r>
    </w:p>
    <w:p>
      <w:pPr>
        <w:spacing w:after="25" w:line="235" w:lineRule="auto"/>
        <w:ind w:left="331" w:hanging="331"/>
        <w:widowControl/>
      </w:pPr>
      <w:r>
        <w:rPr>
          <w:b/>
          <w:color w:val="2A6F73"/>
          <w:sz w:val="16"/>
        </w:rPr>
        <w:t xml:space="preserve">14. </w:t>
      </w:r>
      <w:r>
        <w:rPr>
          <w:color w:val="1F2933"/>
          <w:sz w:val="16"/>
        </w:rPr>
        <w:t xml:space="preserve">M. S. Islam, A. H. M. I. Ferdous, </w:t>
      </w:r>
      <w:r>
        <w:rPr>
          <w:b/>
          <w:color w:val="17324D"/>
          <w:sz w:val="16"/>
        </w:rPr>
        <w:t>A. Al Mamun</w:t>
      </w:r>
      <w:r>
        <w:rPr>
          <w:color w:val="1F2933"/>
          <w:sz w:val="16"/>
        </w:rPr>
        <w:t>, M. S. Anower, M. J. Hossen, and S. U. Ahmed, “Ultra-sensitive terahertz photonic crystal fiber sensor for detection of tuberculosis,” Sensing and Bio-Sensing Research, vol. 48, p. 100814, Jun. 2025, doi: 10.1016/j.sbsr.2025.100814.</w:t>
      </w:r>
    </w:p>
    <w:p>
      <w:pPr>
        <w:spacing w:after="25" w:line="235" w:lineRule="auto"/>
        <w:ind w:left="331" w:hanging="331"/>
        <w:widowControl/>
      </w:pPr>
      <w:r>
        <w:rPr>
          <w:b/>
          <w:color w:val="2A6F73"/>
          <w:sz w:val="16"/>
        </w:rPr>
        <w:t xml:space="preserve">15. </w:t>
      </w:r>
      <w:r>
        <w:rPr>
          <w:color w:val="1F2933"/>
          <w:sz w:val="16"/>
        </w:rPr>
        <w:t xml:space="preserve">Md. G. Hasan, A. Haque, </w:t>
      </w:r>
      <w:r>
        <w:rPr>
          <w:b/>
          <w:color w:val="17324D"/>
          <w:sz w:val="16"/>
        </w:rPr>
        <w:t>A. Al Mamun</w:t>
      </w:r>
      <w:r>
        <w:rPr>
          <w:color w:val="1F2933"/>
          <w:sz w:val="16"/>
        </w:rPr>
        <w:t>, Md. J. Hossen, A. H. M. I. Ferdous, Md. A. Shobug, and K. S. Noor, “Hybrid-cladding hexagonal-core photonic crystal fiber: A platform for ultra-sensitive terahertz detection of industrial liquid,” Sensing and Bio-Sensing Research, vol. 51, p. 100959, Feb. 2026, doi: 10.1016/j.sbsr.2026.100959.</w:t>
      </w:r>
    </w:p>
    <w:p>
      <w:pPr>
        <w:spacing w:after="25" w:line="235" w:lineRule="auto"/>
        <w:ind w:left="331" w:hanging="331"/>
        <w:widowControl/>
      </w:pPr>
      <w:r>
        <w:rPr>
          <w:b/>
          <w:color w:val="2A6F73"/>
          <w:sz w:val="16"/>
        </w:rPr>
        <w:t xml:space="preserve">16. </w:t>
      </w:r>
      <w:r>
        <w:rPr>
          <w:color w:val="1F2933"/>
          <w:sz w:val="16"/>
        </w:rPr>
        <w:t xml:space="preserve">A. H. M. I. Ferdous, Md. S. Islam, </w:t>
      </w:r>
      <w:r>
        <w:rPr>
          <w:b/>
          <w:color w:val="17324D"/>
          <w:sz w:val="16"/>
        </w:rPr>
        <w:t>A. A. Mamun</w:t>
      </w:r>
      <w:r>
        <w:rPr>
          <w:color w:val="1F2933"/>
          <w:sz w:val="16"/>
        </w:rPr>
        <w:t>, Md. H. Reza, Md. J. Hossen, and Md. S. Anower, “Terahertz PCF sensor for explosive detection: A machine learning approach to nitroglycerine and royal demolition analysis,” Journal of Hazardous Materials Advances, vol. 20, p. 100886, Sep. 2025, doi: https://doi.org/10.1016/j.hazadv.2025.100886. ‌</w:t>
      </w:r>
    </w:p>
    <w:p>
      <w:pPr>
        <w:spacing w:after="25" w:line="235" w:lineRule="auto"/>
        <w:ind w:left="331" w:hanging="331"/>
        <w:widowControl/>
      </w:pPr>
      <w:r>
        <w:rPr>
          <w:b/>
          <w:color w:val="2A6F73"/>
          <w:sz w:val="16"/>
        </w:rPr>
        <w:t xml:space="preserve">17. </w:t>
      </w:r>
      <w:r>
        <w:rPr>
          <w:color w:val="1F2933"/>
          <w:sz w:val="16"/>
        </w:rPr>
        <w:t xml:space="preserve">M. S. Islam, A. H. Ferdous, M. J. Hossen, </w:t>
      </w:r>
      <w:r>
        <w:rPr>
          <w:b/>
          <w:color w:val="17324D"/>
          <w:sz w:val="16"/>
        </w:rPr>
        <w:t>A. A. Mamun</w:t>
      </w:r>
      <w:r>
        <w:rPr>
          <w:color w:val="1F2933"/>
          <w:sz w:val="16"/>
        </w:rPr>
        <w:t>, K. S. Noor, D. Kundu, and M. G. Hasan, ‘‘Urinary glucose detection with spiral shape hollow core photonic crystal fiber: Towards improved diabetes management,’’ Sensing and Bio-Sensing Research, vol. 47, p. 100748, 2 2025. [Online]. Available: https://www.sciencedirect.com/science/article/pii/S2214180425000145?via%3Dihub</w:t>
      </w:r>
    </w:p>
    <w:p>
      <w:pPr>
        <w:spacing w:after="25" w:line="235" w:lineRule="auto"/>
        <w:ind w:left="331" w:hanging="331"/>
        <w:widowControl/>
      </w:pPr>
      <w:r>
        <w:rPr>
          <w:b/>
          <w:color w:val="2A6F73"/>
          <w:sz w:val="16"/>
        </w:rPr>
        <w:t xml:space="preserve">18. </w:t>
      </w:r>
      <w:r>
        <w:rPr>
          <w:color w:val="1F2933"/>
          <w:sz w:val="16"/>
        </w:rPr>
        <w:t xml:space="preserve">M. S. Hossain, A. H. Joy, D. Kundu, I. Ferdous, </w:t>
      </w:r>
      <w:r>
        <w:rPr>
          <w:b/>
          <w:color w:val="17324D"/>
          <w:sz w:val="16"/>
        </w:rPr>
        <w:t>A. A. Mamun</w:t>
      </w:r>
      <w:r>
        <w:rPr>
          <w:color w:val="1F2933"/>
          <w:sz w:val="16"/>
        </w:rPr>
        <w:t>, and Md Jakir Hossen, “High-Sensitivity Toxic Gas Sensor Utilizing Photonic Crystal Fibers in the THz Spectrum,” Emerging Science Journal, vol. 9, no. 2, pp. 524–538, Apr. 2025, doi: https://doi.org/10.28991/esj-2025-09-02-01.</w:t>
      </w:r>
    </w:p>
    <w:p>
      <w:pPr>
        <w:spacing w:after="25" w:line="235" w:lineRule="auto"/>
        <w:ind w:left="331" w:hanging="331"/>
        <w:widowControl/>
      </w:pPr>
      <w:r>
        <w:rPr>
          <w:b/>
          <w:color w:val="2A6F73"/>
          <w:sz w:val="16"/>
        </w:rPr>
        <w:t xml:space="preserve">19. </w:t>
      </w:r>
      <w:r>
        <w:rPr>
          <w:color w:val="1F2933"/>
          <w:sz w:val="16"/>
        </w:rPr>
        <w:t xml:space="preserve">Mst. Aysha Siddika, R. Islam, M. F. Ali, </w:t>
      </w:r>
      <w:r>
        <w:rPr>
          <w:b/>
          <w:color w:val="17324D"/>
          <w:sz w:val="16"/>
        </w:rPr>
        <w:t>A. A. Mamun</w:t>
      </w:r>
      <w:r>
        <w:rPr>
          <w:color w:val="1F2933"/>
          <w:sz w:val="16"/>
        </w:rPr>
        <w:t>, and Md. Jakir Hossen, “Enhanced efficiency of thin-film solar cells using AgInSe2 back surface field layer: a SCAPS-1D numerical study,” Materials Technology, vol. 40, no. 1, Sep. 2025, doi: https://doi.org/10.1080/10667857.2025. 2562530. ‌</w:t>
      </w:r>
    </w:p>
    <w:p>
      <w:pPr>
        <w:spacing w:after="25" w:line="235" w:lineRule="auto"/>
        <w:ind w:left="331" w:hanging="331"/>
        <w:widowControl/>
      </w:pPr>
      <w:r>
        <w:rPr>
          <w:b/>
          <w:color w:val="2A6F73"/>
          <w:sz w:val="16"/>
        </w:rPr>
        <w:t xml:space="preserve">20. </w:t>
      </w:r>
      <w:r>
        <w:rPr>
          <w:color w:val="1F2933"/>
          <w:sz w:val="16"/>
        </w:rPr>
        <w:t xml:space="preserve">A. H. M. Iftekharul Ferdous, T. K. Nisha, </w:t>
      </w:r>
      <w:r>
        <w:rPr>
          <w:b/>
          <w:color w:val="17324D"/>
          <w:sz w:val="16"/>
        </w:rPr>
        <w:t>A. A. Mamun</w:t>
      </w:r>
      <w:r>
        <w:rPr>
          <w:color w:val="1F2933"/>
          <w:sz w:val="16"/>
        </w:rPr>
        <w:t>, Md. J. Hossen, Md. S. Islam, Md. F. Ali, and Md. S. Anower, “Smart photonic crystal fiber optical sensor for tuberculosis detection with machine learning integration,” Scientific Reports, vol. 15, Art. no. 43138, 2025, doi: 10.1038/s41598-025-27290-5.</w:t>
      </w:r>
    </w:p>
    <w:p>
      <w:pPr>
        <w:spacing w:after="25" w:line="235" w:lineRule="auto"/>
        <w:ind w:left="331" w:hanging="331"/>
        <w:widowControl/>
      </w:pPr>
      <w:r>
        <w:rPr>
          <w:b/>
          <w:color w:val="2A6F73"/>
          <w:sz w:val="16"/>
        </w:rPr>
        <w:t xml:space="preserve">21. </w:t>
      </w:r>
      <w:r>
        <w:rPr>
          <w:color w:val="1F2933"/>
          <w:sz w:val="16"/>
        </w:rPr>
        <w:t xml:space="preserve">Md. R. Ali, Md. F. Ali, D. Biswas, </w:t>
      </w:r>
      <w:r>
        <w:rPr>
          <w:b/>
          <w:color w:val="17324D"/>
          <w:sz w:val="16"/>
        </w:rPr>
        <w:t>A. Al Mamun</w:t>
      </w:r>
      <w:r>
        <w:rPr>
          <w:color w:val="1F2933"/>
          <w:sz w:val="16"/>
        </w:rPr>
        <w:t>, and Md. J. Hossen, “Sustainable energy solutions for rural Bangladesh: an optimized hybrid microgrid model,” Frontiers in Energy Research, vol. 13, Nov. 2025, doi: https://doi.org/10.3389/fenrg.2025.1652536. ‌</w:t>
      </w:r>
    </w:p>
    <w:p>
      <w:pPr>
        <w:spacing w:after="25" w:line="235" w:lineRule="auto"/>
        <w:ind w:left="331" w:hanging="331"/>
        <w:widowControl/>
      </w:pPr>
      <w:r>
        <w:rPr>
          <w:b/>
          <w:color w:val="2A6F73"/>
          <w:sz w:val="16"/>
        </w:rPr>
        <w:t xml:space="preserve">22. </w:t>
      </w:r>
      <w:r>
        <w:rPr>
          <w:color w:val="1F2933"/>
          <w:sz w:val="16"/>
        </w:rPr>
        <w:t xml:space="preserve">K. S. Noor, M. M. Bani, M. S. Islam, A. I. Ferdous, M. J. Hossen, </w:t>
      </w:r>
      <w:r>
        <w:rPr>
          <w:b/>
          <w:color w:val="17324D"/>
          <w:sz w:val="16"/>
        </w:rPr>
        <w:t>A. A. Mamun</w:t>
      </w:r>
      <w:r>
        <w:rPr>
          <w:color w:val="1F2933"/>
          <w:sz w:val="16"/>
        </w:rPr>
        <w:t>, N. U. Badhon, “Fiber Optic Breakthrough: Terahertz Detection of Illegal Drugs,” Emerging Science Journal, vol. 8, no. 6, pp. 2465–2479, Dec. 2024, doi: https://doi.org/10.28991/esj-2024-08-06-019. ‌ ‌</w:t>
      </w:r>
    </w:p>
    <w:p>
      <w:pPr>
        <w:spacing w:after="25" w:line="235" w:lineRule="auto"/>
        <w:ind w:left="331" w:hanging="331"/>
        <w:widowControl/>
      </w:pPr>
      <w:r>
        <w:rPr>
          <w:b/>
          <w:color w:val="2A6F73"/>
          <w:sz w:val="16"/>
        </w:rPr>
        <w:t xml:space="preserve">23. </w:t>
      </w:r>
      <w:r>
        <w:rPr>
          <w:color w:val="1F2933"/>
          <w:sz w:val="16"/>
        </w:rPr>
        <w:t xml:space="preserve">A. Musha, R. Hasnat, </w:t>
      </w:r>
      <w:r>
        <w:rPr>
          <w:b/>
          <w:color w:val="17324D"/>
          <w:sz w:val="16"/>
        </w:rPr>
        <w:t>A. Al Mamun</w:t>
      </w:r>
      <w:r>
        <w:rPr>
          <w:color w:val="1F2933"/>
          <w:sz w:val="16"/>
        </w:rPr>
        <w:t>, M. S. Hossain, M. J. Hossen, and T. Ghosh, “A systematic review of ulcer detection methods in wireless capsule endoscopy,” Informatics Med. Unlocked, vol. 51, p. 101600, Jan. 2024, doi: 10.1016/J.IMU.2024.101600.</w:t>
      </w:r>
    </w:p>
    <w:p>
      <w:pPr>
        <w:spacing w:after="25" w:line="235" w:lineRule="auto"/>
        <w:ind w:left="331" w:hanging="331"/>
        <w:widowControl/>
      </w:pPr>
      <w:r>
        <w:rPr>
          <w:b/>
          <w:color w:val="2A6F73"/>
          <w:sz w:val="16"/>
        </w:rPr>
        <w:t xml:space="preserve">24. </w:t>
      </w:r>
      <w:r>
        <w:rPr>
          <w:b/>
          <w:color w:val="17324D"/>
          <w:sz w:val="16"/>
        </w:rPr>
        <w:t>A. Al Mamun</w:t>
      </w:r>
      <w:r>
        <w:rPr>
          <w:color w:val="1F2933"/>
          <w:sz w:val="16"/>
        </w:rPr>
        <w:t>, P. P. Em, T. Ghosh, M. M. Hossain, M. G. Hasan, and M. G. Sadeque, “Bleeding recognition technique in wireless capsule endoscopy images using fuzzy logic and principal component analysis,” Int. J. Electr. Comput. Eng., vol. 11, no. 3, pp. 2689–2696, 2021, doi: 10.11591/ijece.v11i3.pp2688-2695.</w:t>
      </w:r>
    </w:p>
    <w:p>
      <w:pPr>
        <w:spacing w:after="25" w:line="235" w:lineRule="auto"/>
        <w:ind w:left="331" w:hanging="331"/>
        <w:widowControl/>
      </w:pPr>
      <w:r>
        <w:rPr>
          <w:b/>
          <w:color w:val="2A6F73"/>
          <w:sz w:val="16"/>
        </w:rPr>
        <w:t xml:space="preserve">25. </w:t>
      </w:r>
      <w:r>
        <w:rPr>
          <w:b/>
          <w:color w:val="17324D"/>
          <w:sz w:val="16"/>
        </w:rPr>
        <w:t>A. Al Mamun</w:t>
      </w:r>
      <w:r>
        <w:rPr>
          <w:color w:val="1F2933"/>
          <w:sz w:val="16"/>
        </w:rPr>
        <w:t>, M. S. Hossain, P. P. Em, A. Tahabilder, R. Sultana, and M. A. Islam, “Small intestine bleeding detection using color threshold and morphological operation in WCE images,” Int. J. Electr. Comput. Eng., vol. 11, no. 4, pp. 3040–3048, Aug. 2021, doi: 10.11591/ijece.v11i4.pp3040-3048.</w:t>
      </w:r>
    </w:p>
    <w:p>
      <w:pPr>
        <w:spacing w:after="25" w:line="235" w:lineRule="auto"/>
        <w:ind w:left="331" w:hanging="331"/>
        <w:widowControl/>
      </w:pPr>
      <w:r>
        <w:rPr>
          <w:b/>
          <w:color w:val="2A6F73"/>
          <w:sz w:val="16"/>
        </w:rPr>
        <w:t xml:space="preserve">26. </w:t>
      </w:r>
      <w:r>
        <w:rPr>
          <w:b/>
          <w:color w:val="17324D"/>
          <w:sz w:val="16"/>
        </w:rPr>
        <w:t>A. Al Mamun</w:t>
      </w:r>
      <w:r>
        <w:rPr>
          <w:color w:val="1F2933"/>
          <w:sz w:val="16"/>
        </w:rPr>
        <w:t>, P. P. Em, and J. Hossen, “Lane marking detection using simple encode decode deep learning technique : SegNet,” Int. J. Electr. Comput. Eng., vol. 11, no. 4, pp. 3032–3039, Aug. 2021, doi: 10.11591/ijece.v11i4.pp3032-3039</w:t>
      </w:r>
    </w:p>
    <w:p>
      <w:pPr>
        <w:spacing w:after="25" w:line="235" w:lineRule="auto"/>
        <w:ind w:left="331" w:hanging="331"/>
        <w:widowControl/>
      </w:pPr>
      <w:r>
        <w:rPr>
          <w:b/>
          <w:color w:val="2A6F73"/>
          <w:sz w:val="16"/>
        </w:rPr>
        <w:t xml:space="preserve">27. </w:t>
      </w:r>
      <w:r>
        <w:rPr>
          <w:b/>
          <w:color w:val="17324D"/>
          <w:sz w:val="16"/>
        </w:rPr>
        <w:t>A. Al Mamun</w:t>
      </w:r>
      <w:r>
        <w:rPr>
          <w:color w:val="1F2933"/>
          <w:sz w:val="16"/>
        </w:rPr>
        <w:t>, P. P. Em, and J. Hossen, “An efficient encode-decode deep learning network for lane markings instant segmentation,” Int. J. Electr. Comput. Eng., vol. 11, no. 6, pp. 4982–4990, Dec. 2021, doi: 10.11591/IJECE.V11I6.PP4982-4990.</w:t>
      </w:r>
    </w:p>
    <w:p>
      <w:pPr>
        <w:spacing w:after="25" w:line="235" w:lineRule="auto"/>
        <w:ind w:left="331" w:hanging="331"/>
        <w:widowControl/>
      </w:pPr>
      <w:r>
        <w:rPr>
          <w:b/>
          <w:color w:val="2A6F73"/>
          <w:sz w:val="16"/>
        </w:rPr>
        <w:t xml:space="preserve">28. </w:t>
      </w:r>
      <w:r>
        <w:rPr>
          <w:b/>
          <w:color w:val="17324D"/>
          <w:sz w:val="16"/>
        </w:rPr>
        <w:t>A. Al Mamun</w:t>
      </w:r>
      <w:r>
        <w:rPr>
          <w:color w:val="1F2933"/>
          <w:sz w:val="16"/>
        </w:rPr>
        <w:t>, P. P. Em, M. J. Hossen, A. Tahabilder, and B. Jahan, “Efficient lane marking detection using deep learning technique with differential and cross-entropy loss,” Int. J. Electr. Comput. Eng., vol. 12, no. 4, pp. 4206–4216, Aug. 2022, doi: 10.11591/IJECE.V12I4.PP4206-4216.</w:t>
      </w:r>
    </w:p>
    <w:p>
      <w:pPr>
        <w:spacing w:after="25" w:line="235" w:lineRule="auto"/>
        <w:ind w:left="331" w:hanging="331"/>
        <w:widowControl/>
      </w:pPr>
      <w:r>
        <w:rPr>
          <w:b/>
          <w:color w:val="2A6F73"/>
          <w:sz w:val="16"/>
        </w:rPr>
        <w:t xml:space="preserve">29. </w:t>
      </w:r>
      <w:r>
        <w:rPr>
          <w:b/>
          <w:color w:val="17324D"/>
          <w:sz w:val="16"/>
        </w:rPr>
        <w:t>A. Al Mamun</w:t>
      </w:r>
      <w:r>
        <w:rPr>
          <w:color w:val="1F2933"/>
          <w:sz w:val="16"/>
        </w:rPr>
        <w:t>, J. Hossen, A. Tahabilder, A. Musha, R. Hasnat, and S. K. Saha, “Acute lymphoblastic leukemia detection approach from peripheral blood smear using color threshold and morphological techniques,” Int. J. Electr. Comput. Eng., vol. 12, no. 4, pp. 3692–3699, Aug. 2022, doi: 10.11591/IJECE.V12I4.PP3692-3699.</w:t>
      </w:r>
    </w:p>
    <w:p>
      <w:pPr>
        <w:spacing w:after="25" w:line="235" w:lineRule="auto"/>
        <w:ind w:left="331" w:hanging="331"/>
        <w:widowControl/>
      </w:pPr>
      <w:r>
        <w:rPr>
          <w:b/>
          <w:color w:val="2A6F73"/>
          <w:sz w:val="16"/>
        </w:rPr>
        <w:t xml:space="preserve">30. </w:t>
      </w:r>
      <w:r>
        <w:rPr>
          <w:color w:val="1F2933"/>
          <w:sz w:val="16"/>
        </w:rPr>
        <w:t xml:space="preserve">A. Musha, </w:t>
      </w:r>
      <w:r>
        <w:rPr>
          <w:b/>
          <w:color w:val="17324D"/>
          <w:sz w:val="16"/>
        </w:rPr>
        <w:t>A. Al Mamun</w:t>
      </w:r>
      <w:r>
        <w:rPr>
          <w:color w:val="1F2933"/>
          <w:sz w:val="16"/>
        </w:rPr>
        <w:t>, A. Tahabilder, J. Hossen, B. Jahan, and S. Ranjbari, “A deep learning approach for COVID-19 and pneumonia detection from chest X-ray images,” Int. J. Electr. Comput. Eng., vol. 12, no. 4, pp. 3655–3664, Aug. 2022, doi: 10.11591/IJECE.V12I4.PP3655-3664.</w:t>
      </w:r>
    </w:p>
    <w:p>
      <w:pPr>
        <w:spacing w:after="25" w:line="235" w:lineRule="auto"/>
        <w:ind w:left="331" w:hanging="331"/>
        <w:widowControl/>
      </w:pPr>
      <w:r>
        <w:rPr>
          <w:b/>
          <w:color w:val="2A6F73"/>
          <w:sz w:val="16"/>
        </w:rPr>
        <w:t xml:space="preserve">31. </w:t>
      </w:r>
      <w:r>
        <w:rPr>
          <w:color w:val="1F2933"/>
          <w:sz w:val="16"/>
        </w:rPr>
        <w:t xml:space="preserve">M. F. Ali, D. Biswas, R. Islam, </w:t>
      </w:r>
      <w:r>
        <w:rPr>
          <w:b/>
          <w:color w:val="17324D"/>
          <w:sz w:val="16"/>
        </w:rPr>
        <w:t>A. A. Mamun</w:t>
      </w:r>
      <w:r>
        <w:rPr>
          <w:color w:val="1F2933"/>
          <w:sz w:val="16"/>
        </w:rPr>
        <w:t>, and Md. Jakir Hossen, “Techno-economic optimization of battery storage technologies for off-grid hybrid microgrids in multiple rural locations of Bangladesh,” Frontiers in Energy Research, vol. 13, Aug. 2025, doi: https://doi.org/10.3389/fenrg.2025.1654615.</w:t>
      </w:r>
    </w:p>
    <w:p>
      <w:pPr>
        <w:spacing w:after="25" w:line="235" w:lineRule="auto"/>
        <w:ind w:left="331" w:hanging="331"/>
        <w:widowControl/>
      </w:pPr>
      <w:r>
        <w:rPr>
          <w:b/>
          <w:color w:val="2A6F73"/>
          <w:sz w:val="16"/>
        </w:rPr>
        <w:t xml:space="preserve">32. </w:t>
      </w:r>
      <w:r>
        <w:rPr>
          <w:color w:val="1F2933"/>
          <w:sz w:val="16"/>
        </w:rPr>
        <w:t xml:space="preserve">Md. M. Hasan, Mst. A. Siddika, Md. F. Ali, Md. R. I. Sheikh, </w:t>
      </w:r>
      <w:r>
        <w:rPr>
          <w:b/>
          <w:color w:val="17324D"/>
          <w:sz w:val="16"/>
        </w:rPr>
        <w:t>A. Al Mamun</w:t>
      </w:r>
      <w:r>
        <w:rPr>
          <w:color w:val="1F2933"/>
          <w:sz w:val="16"/>
        </w:rPr>
        <w:t>, and M. J. Hossen, “Next-generation lead-free solar cells with MASnBr3/ZnSnN2 dual absorbers for high efficiency,” Frontiers in Materials, vol. 12, Aug. 2025, doi: https://doi.org/10.3389/fmats.2025.1652733.</w:t>
      </w:r>
    </w:p>
    <w:p>
      <w:pPr>
        <w:spacing w:after="25" w:line="235" w:lineRule="auto"/>
        <w:ind w:left="331" w:hanging="331"/>
        <w:widowControl/>
      </w:pPr>
      <w:r>
        <w:rPr>
          <w:b/>
          <w:color w:val="2A6F73"/>
          <w:sz w:val="16"/>
        </w:rPr>
        <w:t xml:space="preserve">33. </w:t>
      </w:r>
      <w:r>
        <w:rPr>
          <w:color w:val="1F2933"/>
          <w:sz w:val="16"/>
        </w:rPr>
        <w:t xml:space="preserve">M. Armanur Rahman, J. Hossen, A. Sultana, </w:t>
      </w:r>
      <w:r>
        <w:rPr>
          <w:b/>
          <w:color w:val="17324D"/>
          <w:sz w:val="16"/>
        </w:rPr>
        <w:t>A. Al Mamun</w:t>
      </w:r>
      <w:r>
        <w:rPr>
          <w:color w:val="1F2933"/>
          <w:sz w:val="16"/>
        </w:rPr>
        <w:t>, and N. A. A. Aziz, “A smart method for spark using neural network for big data,” Int. J. Electr. Comput. Eng., vol. 11, no. 3, pp. 2525–2534, 2021, doi: 10.11591/ijece.v11i3.pp2525-2534</w:t>
      </w:r>
    </w:p>
    <w:p>
      <w:pPr>
        <w:spacing w:after="25" w:line="235" w:lineRule="auto"/>
        <w:ind w:left="331" w:hanging="331"/>
        <w:widowControl/>
      </w:pPr>
      <w:r>
        <w:rPr>
          <w:b/>
          <w:color w:val="2A6F73"/>
          <w:sz w:val="16"/>
        </w:rPr>
        <w:t xml:space="preserve">34. </w:t>
      </w:r>
      <w:r>
        <w:rPr>
          <w:b/>
          <w:color w:val="17324D"/>
          <w:sz w:val="16"/>
        </w:rPr>
        <w:t>A. Al Mamun</w:t>
      </w:r>
      <w:r>
        <w:rPr>
          <w:color w:val="1F2933"/>
          <w:sz w:val="16"/>
        </w:rPr>
        <w:t>, E. Poh Ping, and M. J. Hossain, “A Deep Learning Instance Segmentation Approach for Lane Marking Detection,” Int. J. Comput. Digit. Syst., vol. 12, no. 1, pp. 2210–142, Aug. 2021, doi: 10.12785/IJCDS/120167.</w:t>
      </w:r>
    </w:p>
    <w:p>
      <w:pPr>
        <w:spacing w:after="25" w:line="235" w:lineRule="auto"/>
        <w:ind w:left="331" w:hanging="331"/>
        <w:widowControl/>
      </w:pPr>
      <w:r>
        <w:rPr>
          <w:b/>
          <w:color w:val="2A6F73"/>
          <w:sz w:val="16"/>
        </w:rPr>
        <w:t xml:space="preserve">35. </w:t>
      </w:r>
      <w:r>
        <w:rPr>
          <w:color w:val="1F2933"/>
          <w:sz w:val="16"/>
        </w:rPr>
        <w:t xml:space="preserve">T. T. Ramanathan, Md. Jakir Hossen, </w:t>
      </w:r>
      <w:r>
        <w:rPr>
          <w:b/>
          <w:color w:val="17324D"/>
          <w:sz w:val="16"/>
        </w:rPr>
        <w:t>A. A. Mamun</w:t>
      </w:r>
      <w:r>
        <w:rPr>
          <w:color w:val="1F2933"/>
          <w:sz w:val="16"/>
        </w:rPr>
        <w:t>, and J. E. Raja, “Ensemble recursive feature elimination-based ensemble classification for medical diagnosis,” Indonesian Journal of Electrical Engineering and Computer Science, vol. 40, no. 2, pp. 758–758, Nov. 2025, doi: https://doi.org/10.11591/ijeecs.v40.i2.pp758-771. ‌</w:t>
      </w:r>
    </w:p>
    <w:p>
      <w:pPr>
        <w:spacing w:after="25" w:line="235" w:lineRule="auto"/>
        <w:ind w:left="331" w:hanging="331"/>
        <w:widowControl/>
      </w:pPr>
      <w:r>
        <w:rPr>
          <w:b/>
          <w:color w:val="2A6F73"/>
          <w:sz w:val="16"/>
        </w:rPr>
        <w:t xml:space="preserve">36. </w:t>
      </w:r>
      <w:r>
        <w:rPr>
          <w:color w:val="1F2933"/>
          <w:sz w:val="16"/>
        </w:rPr>
        <w:t xml:space="preserve">D. Kundu, A. W. Reza, A. H. M. I. Ferdous, </w:t>
      </w:r>
      <w:r>
        <w:rPr>
          <w:b/>
          <w:color w:val="17324D"/>
          <w:sz w:val="16"/>
        </w:rPr>
        <w:t>A. A. Mamun</w:t>
      </w:r>
      <w:r>
        <w:rPr>
          <w:color w:val="1F2933"/>
          <w:sz w:val="16"/>
        </w:rPr>
        <w:t>, and Md. Jakir Hossen, “Sawtooth Bow-Tie Antenna: A Compact Solution for Super High-Frequency Ku Band, K Band, and Ultra-Wideband (UWB) Wireless Communication Systems,” International Journal of Engineering Trends and Technology, vol. 73, no. 4, pp. 210–224, Apr. 2025, doi: https://doi.org/10.14445/22315381/ijett-v73i4p119</w:t>
      </w:r>
    </w:p>
    <w:p>
      <w:pPr>
        <w:pStyle w:val="CVSubsection"/>
        <w:keepNext/>
        <w:widowControl/>
      </w:pPr>
      <w:r>
        <w:t>Conference papers, book chapters &amp; current manuscript (19)</w:t>
      </w:r>
    </w:p>
    <w:p>
      <w:pPr>
        <w:spacing w:after="25" w:line="235" w:lineRule="auto"/>
        <w:ind w:left="331" w:hanging="331"/>
        <w:widowControl/>
      </w:pPr>
      <w:r>
        <w:rPr>
          <w:b/>
          <w:color w:val="2A6F73"/>
          <w:sz w:val="16"/>
        </w:rPr>
        <w:t xml:space="preserve">1. </w:t>
      </w:r>
      <w:r>
        <w:rPr>
          <w:b/>
          <w:color w:val="17324D"/>
          <w:sz w:val="16"/>
        </w:rPr>
        <w:t>A. A. Mamun</w:t>
      </w:r>
      <w:r>
        <w:rPr>
          <w:color w:val="1F2933"/>
          <w:sz w:val="16"/>
        </w:rPr>
        <w:t>, M. Zhang, D. Ahmedt-Aristizabal, Z. Hayder, and M. Awrangjeb, “StateSpace-SSL: Linear-Time Self-supervised Learning for Plant Disease Detection,” Accepted and presented at the First International Workshop on AI in Agriculture (Agri AI), co-located with AAAI 2026, arXiv.org, 2025. https://arxiv.org/abs/2512.09492</w:t>
      </w:r>
    </w:p>
    <w:p>
      <w:pPr>
        <w:spacing w:after="25" w:line="235" w:lineRule="auto"/>
        <w:ind w:left="331" w:hanging="331"/>
        <w:widowControl/>
      </w:pPr>
      <w:r>
        <w:rPr>
          <w:b/>
          <w:color w:val="2A6F73"/>
          <w:sz w:val="16"/>
        </w:rPr>
        <w:t xml:space="preserve">2. </w:t>
      </w:r>
      <w:r>
        <w:rPr>
          <w:b/>
          <w:color w:val="17324D"/>
          <w:sz w:val="16"/>
        </w:rPr>
        <w:t>A. A. Mamun</w:t>
      </w:r>
      <w:r>
        <w:rPr>
          <w:color w:val="1F2933"/>
          <w:sz w:val="16"/>
        </w:rPr>
        <w:t>, M. Zhang, D. Ahmedt-Aristizabal, Z. Hayder, and M. Awrangjeb, “LeCo³: Lesion-Context Contrastive and Counterfactual Learning for Plant Disease Recognition,” Submitted at the Winter Conference on Applications of Computer Vision 2027</w:t>
      </w:r>
    </w:p>
    <w:p>
      <w:pPr>
        <w:spacing w:after="25" w:line="235" w:lineRule="auto"/>
        <w:ind w:left="331" w:hanging="331"/>
        <w:widowControl/>
      </w:pPr>
      <w:r>
        <w:rPr>
          <w:b/>
          <w:color w:val="2A6F73"/>
          <w:sz w:val="16"/>
        </w:rPr>
        <w:t xml:space="preserve">3. </w:t>
      </w:r>
      <w:r>
        <w:rPr>
          <w:b/>
          <w:color w:val="17324D"/>
          <w:sz w:val="16"/>
        </w:rPr>
        <w:t>A. Al Mamun</w:t>
      </w:r>
      <w:r>
        <w:rPr>
          <w:color w:val="1F2933"/>
          <w:sz w:val="16"/>
        </w:rPr>
        <w:t>, M. S. Hossain, M. M. Hossain, and M. G. Hasan, “Discretion Way for Bleeding Detection in Wireless Capsule Endoscopy Images,” May 2019, doi: 10.1109/ICASERT.2019.8934589.</w:t>
      </w:r>
    </w:p>
    <w:p>
      <w:pPr>
        <w:spacing w:after="25" w:line="235" w:lineRule="auto"/>
        <w:ind w:left="331" w:hanging="331"/>
        <w:widowControl/>
      </w:pPr>
      <w:r>
        <w:rPr>
          <w:b/>
          <w:color w:val="2A6F73"/>
          <w:sz w:val="16"/>
        </w:rPr>
        <w:t xml:space="preserve">4. </w:t>
      </w:r>
      <w:r>
        <w:rPr>
          <w:b/>
          <w:color w:val="17324D"/>
          <w:sz w:val="16"/>
        </w:rPr>
        <w:t>A. Al Mamun</w:t>
      </w:r>
      <w:r>
        <w:rPr>
          <w:color w:val="1F2933"/>
          <w:sz w:val="16"/>
        </w:rPr>
        <w:t xml:space="preserve"> and M. S. Hossain, “Ulcer Detection in Image Converted from Video Footage of Wireless Capsule Endoscopy,” May 2019, doi: 10.1109/ICASERT.2019.8934597.</w:t>
      </w:r>
    </w:p>
    <w:p>
      <w:pPr>
        <w:spacing w:after="25" w:line="235" w:lineRule="auto"/>
        <w:ind w:left="331" w:hanging="331"/>
        <w:widowControl/>
      </w:pPr>
      <w:r>
        <w:rPr>
          <w:b/>
          <w:color w:val="2A6F73"/>
          <w:sz w:val="16"/>
        </w:rPr>
        <w:t xml:space="preserve">5. </w:t>
      </w:r>
      <w:r>
        <w:rPr>
          <w:b/>
          <w:color w:val="17324D"/>
          <w:sz w:val="16"/>
        </w:rPr>
        <w:t>A. Al Mamun</w:t>
      </w:r>
      <w:r>
        <w:rPr>
          <w:color w:val="1F2933"/>
          <w:sz w:val="16"/>
        </w:rPr>
        <w:t>, M. S. Hossain, M. E. Khallil, A. Tahabilder, T. K. Das, and R. Islam, “Convenient Way to Detect Ulcer in Wireless Capsule Endoscopy through Fuzzy Logic Technique,” in 2020 IEEE Region 10 Symposium, TENSYMP 2020, Jun. 2020, pp. 880–883, doi: 10.1109/TENSYMP50017.2020.9231004.</w:t>
      </w:r>
    </w:p>
    <w:p>
      <w:pPr>
        <w:spacing w:after="25" w:line="235" w:lineRule="auto"/>
        <w:ind w:left="331" w:hanging="331"/>
        <w:widowControl/>
      </w:pPr>
      <w:r>
        <w:rPr>
          <w:b/>
          <w:color w:val="2A6F73"/>
          <w:sz w:val="16"/>
        </w:rPr>
        <w:t xml:space="preserve">6. </w:t>
      </w:r>
      <w:r>
        <w:rPr>
          <w:b/>
          <w:color w:val="17324D"/>
          <w:sz w:val="16"/>
        </w:rPr>
        <w:t>A. Al Mamun</w:t>
      </w:r>
      <w:r>
        <w:rPr>
          <w:color w:val="1F2933"/>
          <w:sz w:val="16"/>
        </w:rPr>
        <w:t>, E. P. Ping, and M. J. Hossen, “A Review on Lane Marking Detection Using Deep Neural Network,” pp. 439–451, 2022, doi: 10.1007/978-981-16-2543-5_37.</w:t>
      </w:r>
    </w:p>
    <w:p>
      <w:pPr>
        <w:spacing w:after="25" w:line="235" w:lineRule="auto"/>
        <w:ind w:left="331" w:hanging="331"/>
        <w:widowControl/>
      </w:pPr>
      <w:r>
        <w:rPr>
          <w:b/>
          <w:color w:val="2A6F73"/>
          <w:sz w:val="16"/>
        </w:rPr>
        <w:t xml:space="preserve">7. </w:t>
      </w:r>
      <w:r>
        <w:rPr>
          <w:color w:val="1F2933"/>
          <w:sz w:val="16"/>
        </w:rPr>
        <w:t xml:space="preserve">M. Ahmmad, </w:t>
      </w:r>
      <w:r>
        <w:rPr>
          <w:b/>
          <w:color w:val="17324D"/>
          <w:sz w:val="16"/>
        </w:rPr>
        <w:t>A. Al Mamun</w:t>
      </w:r>
      <w:r>
        <w:rPr>
          <w:color w:val="1F2933"/>
          <w:sz w:val="16"/>
        </w:rPr>
        <w:t>, A. Tahabilder, S. Rumana, and A. Mahfuja, “An Automated Coronavirus Disease Detection Approach Using a Deep Neural Network from X-ray Images,” Lect. Notes Electr. Eng., 2021, doi: 10.1007/978-981-16-2543-5_36.</w:t>
      </w:r>
    </w:p>
    <w:p>
      <w:pPr>
        <w:spacing w:after="25" w:line="235" w:lineRule="auto"/>
        <w:ind w:left="331" w:hanging="331"/>
        <w:widowControl/>
      </w:pPr>
      <w:r>
        <w:rPr>
          <w:b/>
          <w:color w:val="2A6F73"/>
          <w:sz w:val="16"/>
        </w:rPr>
        <w:t xml:space="preserve">8. </w:t>
      </w:r>
      <w:r>
        <w:rPr>
          <w:color w:val="1F2933"/>
          <w:sz w:val="16"/>
        </w:rPr>
        <w:t xml:space="preserve">M. S. Hossain, </w:t>
      </w:r>
      <w:r>
        <w:rPr>
          <w:b/>
          <w:color w:val="17324D"/>
          <w:sz w:val="16"/>
        </w:rPr>
        <w:t>A. Al Mamun</w:t>
      </w:r>
      <w:r>
        <w:rPr>
          <w:color w:val="1F2933"/>
          <w:sz w:val="16"/>
        </w:rPr>
        <w:t>, M. G. Hasan, and M. M. Hossain, “Easy Scheme for Ulcer Detection in Wireless Capsule Endoscopy Images,” in 1st International Conference on Advances in Science, Engineering and Robotics Technology 2019, ICASERT 2019, May 2019, pp. 1–5, doi: 10.1109/ICASERT.2019.8934510.</w:t>
      </w:r>
    </w:p>
    <w:p>
      <w:pPr>
        <w:spacing w:after="25" w:line="235" w:lineRule="auto"/>
        <w:ind w:left="331" w:hanging="331"/>
        <w:widowControl/>
      </w:pPr>
      <w:r>
        <w:rPr>
          <w:b/>
          <w:color w:val="2A6F73"/>
          <w:sz w:val="16"/>
        </w:rPr>
        <w:t xml:space="preserve">9. </w:t>
      </w:r>
      <w:r>
        <w:rPr>
          <w:color w:val="1F2933"/>
          <w:sz w:val="16"/>
        </w:rPr>
        <w:t xml:space="preserve">M. S. Hossain, </w:t>
      </w:r>
      <w:r>
        <w:rPr>
          <w:b/>
          <w:color w:val="17324D"/>
          <w:sz w:val="16"/>
        </w:rPr>
        <w:t>A. Al Mamun</w:t>
      </w:r>
      <w:r>
        <w:rPr>
          <w:color w:val="1F2933"/>
          <w:sz w:val="16"/>
        </w:rPr>
        <w:t>, T. Ghosh, M. G. Hasan, M. M. Hossain, and A. Tahabilder, “Ulcer detection in wireless capsule endoscopy using locally computed features,” in Lecture Notes of the Institute for Computer Sciences, Social-Informatics and Telecommunications Engineering, LNICST, Feb. 2020, vol. 325 LNICST, pp. 491–502, doi: 10.1007/978-3-030-52856-0_39</w:t>
      </w:r>
    </w:p>
    <w:p>
      <w:pPr>
        <w:spacing w:after="25" w:line="235" w:lineRule="auto"/>
        <w:ind w:left="331" w:hanging="331"/>
        <w:widowControl/>
      </w:pPr>
      <w:r>
        <w:rPr>
          <w:b/>
          <w:color w:val="2A6F73"/>
          <w:sz w:val="16"/>
        </w:rPr>
        <w:t xml:space="preserve">10. </w:t>
      </w:r>
      <w:r>
        <w:rPr>
          <w:color w:val="1F2933"/>
          <w:sz w:val="16"/>
        </w:rPr>
        <w:t xml:space="preserve">S. Narjim, </w:t>
      </w:r>
      <w:r>
        <w:rPr>
          <w:b/>
          <w:color w:val="17324D"/>
          <w:sz w:val="16"/>
        </w:rPr>
        <w:t>A. Al Mamun</w:t>
      </w:r>
      <w:r>
        <w:rPr>
          <w:color w:val="1F2933"/>
          <w:sz w:val="16"/>
        </w:rPr>
        <w:t>, and D. Kundu, “Diagnosis of acute lymphoblastic leukemia from microscopic image of peripheral blood smear using image processing technique,” in Lecture Notes of the Institute for Computer Sciences, Social-Informatics and Telecommunications Engineering, LNICST, Feb. 2020, vol. 325 LNICST, pp. 515–526, doi: 10.1007/978-3-030-52856-0_41.</w:t>
      </w:r>
    </w:p>
    <w:p>
      <w:pPr>
        <w:spacing w:after="25" w:line="235" w:lineRule="auto"/>
        <w:ind w:left="331" w:hanging="331"/>
        <w:widowControl/>
      </w:pPr>
      <w:r>
        <w:rPr>
          <w:b/>
          <w:color w:val="2A6F73"/>
          <w:sz w:val="16"/>
        </w:rPr>
        <w:t xml:space="preserve">11. </w:t>
      </w:r>
      <w:r>
        <w:rPr>
          <w:color w:val="1F2933"/>
          <w:sz w:val="16"/>
        </w:rPr>
        <w:t xml:space="preserve">A. Tahabilder, </w:t>
      </w:r>
      <w:r>
        <w:rPr>
          <w:b/>
          <w:color w:val="17324D"/>
          <w:sz w:val="16"/>
        </w:rPr>
        <w:t>A. A. Mamun</w:t>
      </w:r>
      <w:r>
        <w:rPr>
          <w:color w:val="1F2933"/>
          <w:sz w:val="16"/>
        </w:rPr>
        <w:t>, N. Rahman, and P. K. Ghosh, “Co-optimal PMU Placement for Complete Monitoring of Distributed Generations Installed System,” in Lecture Notes in Electrical Engineering, vol. 699, Springer, Singapore, 2021, pp. 477–483</w:t>
      </w:r>
    </w:p>
    <w:p>
      <w:pPr>
        <w:spacing w:after="25" w:line="235" w:lineRule="auto"/>
        <w:ind w:left="331" w:hanging="331"/>
        <w:widowControl/>
      </w:pPr>
      <w:r>
        <w:rPr>
          <w:b/>
          <w:color w:val="2A6F73"/>
          <w:sz w:val="16"/>
        </w:rPr>
        <w:t xml:space="preserve">12. </w:t>
      </w:r>
      <w:r>
        <w:rPr>
          <w:color w:val="1F2933"/>
          <w:sz w:val="16"/>
        </w:rPr>
        <w:t xml:space="preserve">R. Hasnat, </w:t>
      </w:r>
      <w:r>
        <w:rPr>
          <w:b/>
          <w:color w:val="17324D"/>
          <w:sz w:val="16"/>
        </w:rPr>
        <w:t>A. Al Mamun</w:t>
      </w:r>
      <w:r>
        <w:rPr>
          <w:color w:val="1F2933"/>
          <w:sz w:val="16"/>
        </w:rPr>
        <w:t>, A. Musha, and T. Ghosh, “Computer-Aided Polyp Removal Detection in Endoscopic Images,” 2021 3rd Int. Conf. Electr. Electron. Eng., pp. 37–40, Dec. 2021, doi: 10.1109/ICEEE54059.2021.9718791.</w:t>
      </w:r>
    </w:p>
    <w:p>
      <w:pPr>
        <w:spacing w:after="25" w:line="235" w:lineRule="auto"/>
        <w:ind w:left="331" w:hanging="331"/>
        <w:widowControl/>
      </w:pPr>
      <w:r>
        <w:rPr>
          <w:b/>
          <w:color w:val="2A6F73"/>
          <w:sz w:val="16"/>
        </w:rPr>
        <w:t xml:space="preserve">13. </w:t>
      </w:r>
      <w:r>
        <w:rPr>
          <w:color w:val="1F2933"/>
          <w:sz w:val="16"/>
        </w:rPr>
        <w:t xml:space="preserve">R. Hasnat, </w:t>
      </w:r>
      <w:r>
        <w:rPr>
          <w:b/>
          <w:color w:val="17324D"/>
          <w:sz w:val="16"/>
        </w:rPr>
        <w:t>A. Al Mamun</w:t>
      </w:r>
      <w:r>
        <w:rPr>
          <w:color w:val="1F2933"/>
          <w:sz w:val="16"/>
        </w:rPr>
        <w:t>, A. Musha, and A. Tahabilder, “A Review on Heart Diseases Prediction Using Artificial Intelligence,” pp. 41–54, 2023, doi: 10.1007/978-3-031-34622-4_4/COVER.</w:t>
      </w:r>
    </w:p>
    <w:p>
      <w:pPr>
        <w:spacing w:after="25" w:line="235" w:lineRule="auto"/>
        <w:ind w:left="331" w:hanging="331"/>
        <w:widowControl/>
      </w:pPr>
      <w:r>
        <w:rPr>
          <w:b/>
          <w:color w:val="2A6F73"/>
          <w:sz w:val="16"/>
        </w:rPr>
        <w:t xml:space="preserve">14. </w:t>
      </w:r>
      <w:r>
        <w:rPr>
          <w:color w:val="1F2933"/>
          <w:sz w:val="16"/>
        </w:rPr>
        <w:t xml:space="preserve">B. Jahan, B. U. Mahmud, </w:t>
      </w:r>
      <w:r>
        <w:rPr>
          <w:b/>
          <w:color w:val="17324D"/>
          <w:sz w:val="16"/>
        </w:rPr>
        <w:t>A. Al Mamun</w:t>
      </w:r>
      <w:r>
        <w:rPr>
          <w:color w:val="1F2933"/>
          <w:sz w:val="16"/>
        </w:rPr>
        <w:t>, M. Mujibur Rahman Majumder, and M. Alam, “Impact Analysis of Harassment Against Women in Bangladesh Using Machine Learning Approaches,” Lect. Notes Electr. Eng., vol. 730, pp. 549–559, 2022, doi: 10.1007/978-981-33-4597-3_50</w:t>
      </w:r>
    </w:p>
    <w:p>
      <w:pPr>
        <w:spacing w:after="25" w:line="235" w:lineRule="auto"/>
        <w:ind w:left="331" w:hanging="331"/>
        <w:widowControl/>
      </w:pPr>
      <w:r>
        <w:rPr>
          <w:b/>
          <w:color w:val="2A6F73"/>
          <w:sz w:val="16"/>
        </w:rPr>
        <w:t xml:space="preserve">15. </w:t>
      </w:r>
      <w:r>
        <w:rPr>
          <w:color w:val="1F2933"/>
          <w:sz w:val="16"/>
        </w:rPr>
        <w:t xml:space="preserve">R. Khatun, K. Sa. Ajay, and </w:t>
      </w:r>
      <w:r>
        <w:rPr>
          <w:b/>
          <w:color w:val="17324D"/>
          <w:sz w:val="16"/>
        </w:rPr>
        <w:t>A. Al Mamun</w:t>
      </w:r>
      <w:r>
        <w:rPr>
          <w:color w:val="1F2933"/>
          <w:sz w:val="16"/>
        </w:rPr>
        <w:t>, “Error Detection in P300 Speller Device Applying Differential Entropy Features and Machine Learning Approaches,” 2024 6th Int. Conf. Electr. Eng. Inf. &amp;amp; Commun. Technol., no. May, pp. 1157–1162, 2024, doi: 10.1109/ICEEICT62016.2024.10534497.</w:t>
      </w:r>
    </w:p>
    <w:p>
      <w:pPr>
        <w:spacing w:after="25" w:line="235" w:lineRule="auto"/>
        <w:ind w:left="331" w:hanging="331"/>
        <w:widowControl/>
      </w:pPr>
      <w:r>
        <w:rPr>
          <w:b/>
          <w:color w:val="2A6F73"/>
          <w:sz w:val="16"/>
        </w:rPr>
        <w:t xml:space="preserve">16. </w:t>
      </w:r>
      <w:r>
        <w:rPr>
          <w:color w:val="1F2933"/>
          <w:sz w:val="16"/>
        </w:rPr>
        <w:t xml:space="preserve">Rabeya Khatun, Dr. Ajay Krishno Sarkar and </w:t>
      </w:r>
      <w:r>
        <w:rPr>
          <w:b/>
          <w:color w:val="17324D"/>
          <w:sz w:val="16"/>
        </w:rPr>
        <w:t>A. Al Mamun</w:t>
      </w:r>
      <w:r>
        <w:rPr>
          <w:color w:val="1F2933"/>
          <w:sz w:val="16"/>
        </w:rPr>
        <w:t>, “Ultrasound Image Analysis for Normal Pregnancy and Ectopic Pregnancy,” 2020 IEEE Reg. 10 Symp. TENSYMP 2020, no. June, pp. 855–858, 2020, doi: 10.1109/TENSYMP50017.2020.9230942</w:t>
      </w:r>
    </w:p>
    <w:p>
      <w:pPr>
        <w:spacing w:after="25" w:line="235" w:lineRule="auto"/>
        <w:ind w:left="331" w:hanging="331"/>
        <w:widowControl/>
      </w:pPr>
      <w:r>
        <w:rPr>
          <w:b/>
          <w:color w:val="2A6F73"/>
          <w:sz w:val="16"/>
        </w:rPr>
        <w:t xml:space="preserve">17. </w:t>
      </w:r>
      <w:r>
        <w:rPr>
          <w:color w:val="1F2933"/>
          <w:sz w:val="16"/>
        </w:rPr>
        <w:t xml:space="preserve">M. M. H. Tanim, M. F. Ali, M. A. Shobug, and </w:t>
      </w:r>
      <w:r>
        <w:rPr>
          <w:b/>
          <w:color w:val="17324D"/>
          <w:sz w:val="16"/>
        </w:rPr>
        <w:t>A. A. Mamun</w:t>
      </w:r>
      <w:r>
        <w:rPr>
          <w:color w:val="1F2933"/>
          <w:sz w:val="16"/>
        </w:rPr>
        <w:t>, “Analysis of the Impacts on Power Flow After Introducing Renewable Energy Source in a Power System with HVDC Line,” in Lecture Notes in Electrical Engineering, 2021, vol. 699, pp. 391–402, doi: 10.1007/978-981-15-7994-3_36</w:t>
      </w:r>
    </w:p>
    <w:p>
      <w:pPr>
        <w:spacing w:after="25" w:line="235" w:lineRule="auto"/>
        <w:ind w:left="331" w:hanging="331"/>
        <w:widowControl/>
      </w:pPr>
      <w:r>
        <w:rPr>
          <w:b/>
          <w:color w:val="2A6F73"/>
          <w:sz w:val="16"/>
        </w:rPr>
        <w:t xml:space="preserve">18. </w:t>
      </w:r>
      <w:r>
        <w:rPr>
          <w:color w:val="1F2933"/>
          <w:sz w:val="16"/>
        </w:rPr>
        <w:t xml:space="preserve">T. K. Das, R. Islam, M. E. Khallil, </w:t>
      </w:r>
      <w:r>
        <w:rPr>
          <w:b/>
          <w:color w:val="17324D"/>
          <w:sz w:val="16"/>
        </w:rPr>
        <w:t>A. Al Mamun</w:t>
      </w:r>
      <w:r>
        <w:rPr>
          <w:color w:val="1F2933"/>
          <w:sz w:val="16"/>
        </w:rPr>
        <w:t>, D. Kundu, and M. Rashid, “Design Optimization and Economic Analysis of a Hybrid System for a Hilly Area in Bangladesh,” pp. 93–105, 2021, doi: 10.1007/978-981-15-9505-9_10.</w:t>
      </w:r>
    </w:p>
    <w:p>
      <w:pPr>
        <w:spacing w:after="25" w:line="235" w:lineRule="auto"/>
        <w:ind w:left="331" w:hanging="331"/>
        <w:widowControl/>
      </w:pPr>
      <w:r>
        <w:rPr>
          <w:b/>
          <w:color w:val="2A6F73"/>
          <w:sz w:val="16"/>
        </w:rPr>
        <w:t xml:space="preserve">19. </w:t>
      </w:r>
      <w:r>
        <w:rPr>
          <w:color w:val="1F2933"/>
          <w:sz w:val="16"/>
        </w:rPr>
        <w:t xml:space="preserve">Musha, R. Hasnat, </w:t>
      </w:r>
      <w:r>
        <w:rPr>
          <w:b/>
          <w:color w:val="17324D"/>
          <w:sz w:val="16"/>
        </w:rPr>
        <w:t>A. Al Mamun</w:t>
      </w:r>
      <w:r>
        <w:rPr>
          <w:color w:val="1F2933"/>
          <w:sz w:val="16"/>
        </w:rPr>
        <w:t>, and T. Ghosh, “Deep Learning-Based Comparative Study to Detect Polyp Removal in Endoscopic Images,” 2022 Int. Conf. Emerg. Smart Comput. Informatics, pp. 1–5, Mar. 2022, doi: 10.1109/ESCI53509.2022.9758254</w:t>
      </w:r>
    </w:p>
    <w:p>
      <w:pPr>
        <w:pStyle w:val="CVSection"/>
        <w:pBdr>
          <w:bottom w:val="single" w:sz="10" w:space="1" w:color="2A6F73"/>
        </w:pBdr>
        <w:widowControl/>
      </w:pPr>
      <w:r>
        <w:t>LEADERSHIP &amp; ACADEMIC SERVICE</w:t>
      </w:r>
    </w:p>
    <w:p>
      <w:pPr>
        <w:spacing w:after="40"/>
        <w:ind w:left="144" w:hanging="144"/>
        <w:widowControl/>
      </w:pPr>
      <w:r>
        <w:rPr>
          <w:b/>
          <w:color w:val="17324D"/>
          <w:sz w:val="17"/>
        </w:rPr>
        <w:t xml:space="preserve">• President: </w:t>
      </w:r>
      <w:r>
        <w:rPr>
          <w:sz w:val="17"/>
        </w:rPr>
        <w:t>Griffith University Bangladesh Association</w:t>
      </w:r>
      <w:r>
        <w:rPr>
          <w:color w:val="687884"/>
          <w:sz w:val="17"/>
        </w:rPr>
        <w:t xml:space="preserve"> (2024–2025)</w:t>
      </w:r>
    </w:p>
    <w:p>
      <w:pPr>
        <w:spacing w:after="40"/>
        <w:ind w:left="144" w:hanging="144"/>
        <w:widowControl/>
      </w:pPr>
      <w:r>
        <w:rPr>
          <w:b/>
          <w:color w:val="17324D"/>
          <w:sz w:val="17"/>
        </w:rPr>
        <w:t xml:space="preserve">• Founder: </w:t>
      </w:r>
      <w:r>
        <w:rPr>
          <w:sz w:val="17"/>
        </w:rPr>
        <w:t>Research Association, Pabna University of Science &amp; Technology</w:t>
      </w:r>
    </w:p>
    <w:p>
      <w:pPr>
        <w:spacing w:after="40"/>
        <w:ind w:left="144" w:hanging="144"/>
        <w:widowControl/>
      </w:pPr>
      <w:r>
        <w:rPr>
          <w:b/>
          <w:color w:val="17324D"/>
          <w:sz w:val="17"/>
        </w:rPr>
        <w:t xml:space="preserve">• Member: </w:t>
      </w:r>
      <w:r>
        <w:rPr>
          <w:sz w:val="17"/>
        </w:rPr>
        <w:t>IEEE</w:t>
      </w:r>
    </w:p>
    <w:p>
      <w:pPr>
        <w:spacing w:after="40"/>
        <w:ind w:left="144" w:hanging="144"/>
        <w:widowControl/>
      </w:pPr>
      <w:r>
        <w:rPr>
          <w:b/>
          <w:color w:val="17324D"/>
          <w:sz w:val="17"/>
        </w:rPr>
        <w:t xml:space="preserve">• Volunteer: </w:t>
      </w:r>
      <w:r>
        <w:rPr>
          <w:sz w:val="17"/>
        </w:rPr>
        <w:t>First International Conference on Artificial Intelligence for Healthcare in Bangladesh</w:t>
      </w:r>
    </w:p>
    <w:p>
      <w:pPr>
        <w:pStyle w:val="CVSection"/>
        <w:pBdr>
          <w:bottom w:val="single" w:sz="10" w:space="1" w:color="2A6F73"/>
        </w:pBdr>
        <w:widowControl/>
      </w:pPr>
      <w:r>
        <w:t>TECHNICAL SKILLS</w:t>
      </w:r>
    </w:p>
    <w:tbl>
      <w:tblPr>
        <w:tblW w:type="auto" w:w="0"/>
        <w:jc w:val="center"/>
        <w:tblLayout w:type="fixed"/>
        <w:tblLook w:firstColumn="1" w:firstRow="1" w:lastColumn="0" w:lastRow="0" w:noHBand="0" w:noVBand="1" w:val="04A0"/>
      </w:tblPr>
      <w:tblGrid>
        <w:gridCol w:w="5227"/>
        <w:gridCol w:w="5227"/>
      </w:tblGrid>
      <w:tr>
        <w:trPr>
          <w:cantSplit/>
        </w:trPr>
        <w:tc>
          <w:tcPr>
            <w:tcW w:type="dxa" w:w="2376"/>
            <w:tcMar>
              <w:top w:w="25" w:type="dxa"/>
              <w:start w:w="20" w:type="dxa"/>
              <w:bottom w:w="25" w:type="dxa"/>
              <w:end w:w="20" w:type="dxa"/>
            </w:tcMar>
          </w:tcPr>
          <w:p>
            <w:r>
              <w:rPr>
                <w:b/>
                <w:color w:val="2A6F73"/>
                <w:sz w:val="17"/>
              </w:rPr>
              <w:t>Programming</w:t>
            </w:r>
          </w:p>
        </w:tc>
        <w:tc>
          <w:tcPr>
            <w:tcW w:type="dxa" w:w="7992"/>
            <w:tcMar>
              <w:top w:w="25" w:type="dxa"/>
              <w:start w:w="20" w:type="dxa"/>
              <w:bottom w:w="25" w:type="dxa"/>
              <w:end w:w="20" w:type="dxa"/>
            </w:tcMar>
          </w:tcPr>
          <w:p>
            <w:r>
              <w:rPr>
                <w:sz w:val="17"/>
              </w:rPr>
              <w:t>Python, C, C++, HTML</w:t>
            </w:r>
          </w:p>
        </w:tc>
      </w:tr>
      <w:tr>
        <w:trPr>
          <w:cantSplit/>
        </w:trPr>
        <w:tc>
          <w:tcPr>
            <w:tcW w:type="dxa" w:w="2376"/>
            <w:tcMar>
              <w:top w:w="25" w:type="dxa"/>
              <w:start w:w="20" w:type="dxa"/>
              <w:bottom w:w="25" w:type="dxa"/>
              <w:end w:w="20" w:type="dxa"/>
            </w:tcMar>
          </w:tcPr>
          <w:p>
            <w:r>
              <w:rPr>
                <w:b/>
                <w:color w:val="2A6F73"/>
                <w:sz w:val="17"/>
              </w:rPr>
              <w:t>Numerical analysis</w:t>
            </w:r>
          </w:p>
        </w:tc>
        <w:tc>
          <w:tcPr>
            <w:tcW w:type="dxa" w:w="7992"/>
            <w:tcMar>
              <w:top w:w="25" w:type="dxa"/>
              <w:start w:w="20" w:type="dxa"/>
              <w:bottom w:w="25" w:type="dxa"/>
              <w:end w:w="20" w:type="dxa"/>
            </w:tcMar>
          </w:tcPr>
          <w:p>
            <w:r>
              <w:rPr>
                <w:sz w:val="17"/>
              </w:rPr>
              <w:t>MATLAB</w:t>
            </w:r>
          </w:p>
        </w:tc>
      </w:tr>
      <w:tr>
        <w:trPr>
          <w:cantSplit/>
        </w:trPr>
        <w:tc>
          <w:tcPr>
            <w:tcW w:type="dxa" w:w="2376"/>
            <w:tcMar>
              <w:top w:w="25" w:type="dxa"/>
              <w:start w:w="20" w:type="dxa"/>
              <w:bottom w:w="25" w:type="dxa"/>
              <w:end w:w="20" w:type="dxa"/>
            </w:tcMar>
          </w:tcPr>
          <w:p>
            <w:r>
              <w:rPr>
                <w:b/>
                <w:color w:val="2A6F73"/>
                <w:sz w:val="17"/>
              </w:rPr>
              <w:t>Research &amp; productivity</w:t>
            </w:r>
          </w:p>
        </w:tc>
        <w:tc>
          <w:tcPr>
            <w:tcW w:type="dxa" w:w="7992"/>
            <w:tcMar>
              <w:top w:w="25" w:type="dxa"/>
              <w:start w:w="20" w:type="dxa"/>
              <w:bottom w:w="25" w:type="dxa"/>
              <w:end w:w="20" w:type="dxa"/>
            </w:tcMar>
          </w:tcPr>
          <w:p>
            <w:r>
              <w:rPr>
                <w:sz w:val="17"/>
              </w:rPr>
              <w:t>MS Word, PowerPoint, Excel, EndNote, Mendeley</w:t>
            </w:r>
          </w:p>
        </w:tc>
      </w:tr>
      <w:tr>
        <w:trPr>
          <w:cantSplit/>
        </w:trPr>
        <w:tc>
          <w:tcPr>
            <w:tcW w:type="dxa" w:w="2376"/>
            <w:tcMar>
              <w:top w:w="25" w:type="dxa"/>
              <w:start w:w="20" w:type="dxa"/>
              <w:bottom w:w="25" w:type="dxa"/>
              <w:end w:w="20" w:type="dxa"/>
            </w:tcMar>
          </w:tcPr>
          <w:p>
            <w:r>
              <w:rPr>
                <w:b/>
                <w:color w:val="2A6F73"/>
                <w:sz w:val="17"/>
              </w:rPr>
              <w:t>Engineering / diagramming</w:t>
            </w:r>
          </w:p>
        </w:tc>
        <w:tc>
          <w:tcPr>
            <w:tcW w:type="dxa" w:w="7992"/>
            <w:tcMar>
              <w:top w:w="25" w:type="dxa"/>
              <w:start w:w="20" w:type="dxa"/>
              <w:bottom w:w="25" w:type="dxa"/>
              <w:end w:w="20" w:type="dxa"/>
            </w:tcMar>
          </w:tcPr>
          <w:p>
            <w:r>
              <w:rPr>
                <w:sz w:val="17"/>
              </w:rPr>
              <w:t>Proteus, Microsoft Visio, draw.io, Lucidchart</w:t>
            </w:r>
          </w:p>
        </w:tc>
      </w:tr>
    </w:tbl>
    <w:p>
      <w:pPr>
        <w:pStyle w:val="CVSection"/>
        <w:pBdr>
          <w:bottom w:val="single" w:sz="10" w:space="1" w:color="2A6F73"/>
        </w:pBdr>
        <w:widowControl/>
      </w:pPr>
      <w:r>
        <w:t>REFEREES</w:t>
      </w:r>
    </w:p>
    <w:tbl>
      <w:tblPr>
        <w:tblW w:type="auto" w:w="0"/>
        <w:jc w:val="center"/>
        <w:tblLayout w:type="fixed"/>
        <w:tblLook w:firstColumn="1" w:firstRow="1" w:lastColumn="0" w:lastRow="0" w:noHBand="0" w:noVBand="1" w:val="04A0"/>
      </w:tblPr>
      <w:tblGrid>
        <w:gridCol w:w="5227"/>
        <w:gridCol w:w="5227"/>
      </w:tblGrid>
      <w:tr>
        <w:tc>
          <w:tcPr>
            <w:tcW w:type="dxa" w:w="5227"/>
            <w:shd w:fill="F3F6F8"/>
            <w:tcMar>
              <w:top w:w="90" w:type="dxa"/>
              <w:start w:w="100" w:type="dxa"/>
              <w:bottom w:w="90" w:type="dxa"/>
              <w:end w:w="100" w:type="dxa"/>
            </w:tcMar>
          </w:tcPr>
          <w:p>
            <w:pPr>
              <w:spacing w:after="40"/>
            </w:pPr>
            <w:r>
              <w:rPr>
                <w:b/>
                <w:color w:val="17324D"/>
                <w:sz w:val="18"/>
              </w:rPr>
              <w:t>Professor Dipankar Kundu</w:t>
            </w:r>
          </w:p>
          <w:p>
            <w:pPr>
              <w:spacing w:after="40"/>
            </w:pPr>
            <w:r>
              <w:rPr>
                <w:color w:val="1F2933"/>
                <w:sz w:val="16"/>
              </w:rPr>
              <w:t>Electrical and Electronic Engineering</w:t>
              <w:br/>
              <w:t>Pabna University of Science &amp; Technology, Bangladesh</w:t>
            </w:r>
          </w:p>
          <w:p>
            <w:pPr>
              <w:spacing w:after="0"/>
            </w:pPr>
            <w:r>
              <w:rPr>
                <w:color w:val="2A6F73"/>
                <w:sz w:val="16"/>
              </w:rPr>
              <w:t>d.kundu.eee@gmail.com</w:t>
            </w:r>
          </w:p>
        </w:tc>
        <w:tc>
          <w:tcPr>
            <w:tcW w:type="dxa" w:w="5227"/>
            <w:shd w:fill="F3F6F8"/>
            <w:tcMar>
              <w:top w:w="90" w:type="dxa"/>
              <w:start w:w="100" w:type="dxa"/>
              <w:bottom w:w="90" w:type="dxa"/>
              <w:end w:w="100" w:type="dxa"/>
            </w:tcMar>
          </w:tcPr>
          <w:p>
            <w:pPr>
              <w:spacing w:after="40"/>
            </w:pPr>
            <w:r>
              <w:rPr>
                <w:b/>
                <w:color w:val="17324D"/>
                <w:sz w:val="18"/>
              </w:rPr>
              <w:t>Dr Md Jakir Hossen</w:t>
            </w:r>
          </w:p>
          <w:p>
            <w:pPr>
              <w:spacing w:after="40"/>
            </w:pPr>
            <w:r>
              <w:rPr>
                <w:color w:val="1F2933"/>
                <w:sz w:val="16"/>
              </w:rPr>
              <w:t>Associate Professor, Faculty of Engineering and Technology</w:t>
              <w:br/>
              <w:t>Multimedia University, Malaysia</w:t>
            </w:r>
          </w:p>
          <w:p>
            <w:pPr>
              <w:spacing w:after="0"/>
            </w:pPr>
            <w:r>
              <w:rPr>
                <w:color w:val="2A6F73"/>
                <w:sz w:val="16"/>
              </w:rPr>
              <w:t>jakir.hossen@mmu.edu.my</w:t>
            </w:r>
          </w:p>
        </w:tc>
      </w:tr>
    </w:tbl>
    <w:sectPr w:rsidR="00FC693F" w:rsidRPr="0006063C" w:rsidSect="00034616">
      <w:headerReference w:type="default" r:id="rId9"/>
      <w:footerReference w:type="default" r:id="rId10"/>
      <w:pgSz w:w="12240" w:h="15840"/>
      <w:pgMar w:top="691" w:right="893" w:bottom="691" w:left="893"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884"/>
        <w:sz w:val="15"/>
      </w:rPr>
      <w:t xml:space="preserve">Postdoctoral / Research Fellow CV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87884"/>
        <w:sz w:val="15"/>
      </w:rPr>
      <w:t>ABDULLAH AL MAMUN  |  ACADEMIC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2"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spacing w:after="60" w:before="140" w:line="240" w:lineRule="auto"/>
    </w:pPr>
    <w:rPr>
      <w:rFonts w:ascii="Aptos" w:hAnsi="Aptos"/>
      <w:b/>
      <w:color w:val="17324D"/>
      <w:sz w:val="21"/>
    </w:rPr>
  </w:style>
  <w:style w:type="paragraph" w:customStyle="1" w:styleId="CVSubsection">
    <w:name w:val="CV Subsection"/>
    <w:pPr>
      <w:spacing w:after="40" w:before="100" w:line="240" w:lineRule="auto"/>
    </w:pPr>
    <w:rPr>
      <w:rFonts w:ascii="Aptos" w:hAnsi="Aptos"/>
      <w:b/>
      <w:color w:val="2A6F73"/>
      <w:sz w:val="18"/>
    </w:rPr>
  </w:style>
  <w:style w:type="paragraph" w:customStyle="1" w:styleId="CVSmall">
    <w:name w:val="CV Small"/>
    <w:pPr>
      <w:spacing w:after="40" w:before="0" w:line="240" w:lineRule="auto"/>
    </w:pPr>
    <w:rPr>
      <w:rFonts w:ascii="Aptos" w:hAnsi="Aptos"/>
      <w:b w:val="0"/>
      <w:color w:val="1F2933"/>
      <w:sz w:val="17"/>
    </w:rPr>
  </w:style>
  <w:style w:type="paragraph" w:customStyle="1" w:styleId="CVMeta">
    <w:name w:val="CV Meta"/>
    <w:pPr>
      <w:spacing w:after="20" w:before="0" w:line="240" w:lineRule="auto"/>
    </w:pPr>
    <w:rPr>
      <w:rFonts w:ascii="Aptos" w:hAnsi="Aptos"/>
      <w:b w:val="0"/>
      <w:color w:val="68788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patcog.2026.113177" TargetMode="External"/><Relationship Id="rId12" Type="http://schemas.openxmlformats.org/officeDocument/2006/relationships/hyperlink" Target="https://doi.org/10.1016/j.eswa.2026.133775" TargetMode="External"/><Relationship Id="rId13" Type="http://schemas.openxmlformats.org/officeDocument/2006/relationships/hyperlink" Target="https://doi.org/10.1109/ACCESS.2024.3475819" TargetMode="External"/><Relationship Id="rId14" Type="http://schemas.openxmlformats.org/officeDocument/2006/relationships/hyperlink" Target="https://arxiv.org/abs/2512.094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Abdullah Al Mamun - Postdoctoral / Research Fellow Academic CV</dc:title>
  <dc:subject>Academic CV for postdoctoral and research fellow applications</dc:subject>
  <dc:creator>Abdullah Al Mamun</dc:creator>
  <cp:keywords>Academic CV, Postdoctoral Researcher, Research Fellow, Artificial Intelligence, Computer Vision, Self-Supervised Learning</cp:keywords>
  <dc:description>generated by python-docx</dc:description>
  <cp:lastModifiedBy/>
  <cp:revision>1</cp:revision>
  <dcterms:created xsi:type="dcterms:W3CDTF">2013-12-23T23:15:00Z</dcterms:created>
  <dcterms:modified xsi:type="dcterms:W3CDTF">2013-12-23T23:15:00Z</dcterms:modified>
  <cp:category/>
</cp:coreProperties>
</file>