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67F1" w14:textId="2F9066A3" w:rsidR="00173F10" w:rsidRPr="00167440" w:rsidRDefault="004C55FB" w:rsidP="00173F10">
      <w:pPr>
        <w:pStyle w:val="Title"/>
        <w:rPr>
          <w:rFonts w:asciiTheme="minorHAnsi" w:hAnsiTheme="minorHAnsi" w:cstheme="minorHAnsi"/>
          <w:b w:val="0"/>
          <w:bCs/>
          <w:color w:val="00B050"/>
          <w:sz w:val="72"/>
          <w:szCs w:val="72"/>
        </w:rPr>
      </w:pPr>
      <w:bookmarkStart w:id="0" w:name="_Hlk9412580"/>
      <w:r w:rsidRPr="00167440">
        <w:rPr>
          <w:rFonts w:cstheme="minorHAnsi"/>
          <w:bCs/>
          <w:noProof/>
          <w:color w:val="00B050"/>
          <w:sz w:val="72"/>
          <w:szCs w:val="72"/>
        </w:rPr>
        <w:drawing>
          <wp:anchor distT="0" distB="0" distL="114300" distR="114300" simplePos="0" relativeHeight="251667456" behindDoc="0" locked="0" layoutInCell="1" allowOverlap="1" wp14:anchorId="1B4A5CEC" wp14:editId="18588B56">
            <wp:simplePos x="0" y="0"/>
            <wp:positionH relativeFrom="margin">
              <wp:posOffset>4275622</wp:posOffset>
            </wp:positionH>
            <wp:positionV relativeFrom="margin">
              <wp:posOffset>-344517</wp:posOffset>
            </wp:positionV>
            <wp:extent cx="2576195" cy="771525"/>
            <wp:effectExtent l="0" t="0" r="0" b="9525"/>
            <wp:wrapSquare wrapText="bothSides"/>
            <wp:docPr id="466817519" name="Picture 41" descr="A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7519" name="Picture 41" descr="A green text on a black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771525"/>
                    </a:xfrm>
                    <a:prstGeom prst="rect">
                      <a:avLst/>
                    </a:prstGeom>
                    <a:noFill/>
                    <a:ln>
                      <a:noFill/>
                    </a:ln>
                  </pic:spPr>
                </pic:pic>
              </a:graphicData>
            </a:graphic>
            <wp14:sizeRelH relativeFrom="margin">
              <wp14:pctWidth>0</wp14:pctWidth>
            </wp14:sizeRelH>
          </wp:anchor>
        </w:drawing>
      </w:r>
      <w:r w:rsidR="00F54DEB" w:rsidRPr="00167440">
        <w:rPr>
          <w:rFonts w:asciiTheme="minorHAnsi" w:hAnsiTheme="minorHAnsi" w:cstheme="minorHAnsi"/>
          <w:noProof/>
          <w:sz w:val="72"/>
          <w:szCs w:val="72"/>
        </w:rPr>
        <w:drawing>
          <wp:anchor distT="0" distB="0" distL="114300" distR="114300" simplePos="0" relativeHeight="251658240" behindDoc="0" locked="0" layoutInCell="1" allowOverlap="0" wp14:anchorId="0F61A6A8" wp14:editId="37FA0A1C">
            <wp:simplePos x="0" y="0"/>
            <wp:positionH relativeFrom="margin">
              <wp:posOffset>-267335</wp:posOffset>
            </wp:positionH>
            <wp:positionV relativeFrom="page">
              <wp:posOffset>431309</wp:posOffset>
            </wp:positionV>
            <wp:extent cx="1334770" cy="6858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PRI_Logo_Horizont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685800"/>
                    </a:xfrm>
                    <a:prstGeom prst="rect">
                      <a:avLst/>
                    </a:prstGeom>
                  </pic:spPr>
                </pic:pic>
              </a:graphicData>
            </a:graphic>
            <wp14:sizeRelH relativeFrom="margin">
              <wp14:pctWidth>0</wp14:pctWidth>
            </wp14:sizeRelH>
            <wp14:sizeRelV relativeFrom="margin">
              <wp14:pctHeight>0</wp14:pctHeight>
            </wp14:sizeRelV>
          </wp:anchor>
        </w:drawing>
      </w:r>
      <w:r w:rsidR="00F63A0D" w:rsidRPr="00167440">
        <w:rPr>
          <w:rFonts w:asciiTheme="minorHAnsi" w:hAnsiTheme="minorHAnsi" w:cstheme="minorHAnsi"/>
          <w:noProof/>
          <w:sz w:val="72"/>
          <w:szCs w:val="72"/>
        </w:rPr>
        <mc:AlternateContent>
          <mc:Choice Requires="wps">
            <w:drawing>
              <wp:anchor distT="0" distB="571500" distL="114300" distR="114300" simplePos="0" relativeHeight="251660288" behindDoc="0" locked="0" layoutInCell="1" allowOverlap="1" wp14:anchorId="0D394448" wp14:editId="27DFCA8E">
                <wp:simplePos x="0" y="0"/>
                <wp:positionH relativeFrom="margin">
                  <wp:posOffset>-407670</wp:posOffset>
                </wp:positionH>
                <wp:positionV relativeFrom="page">
                  <wp:posOffset>1597660</wp:posOffset>
                </wp:positionV>
                <wp:extent cx="6114415" cy="222250"/>
                <wp:effectExtent l="0" t="0" r="635" b="6350"/>
                <wp:wrapTopAndBottom/>
                <wp:docPr id="24" name="Text Box 24"/>
                <wp:cNvGraphicFramePr/>
                <a:graphic xmlns:a="http://schemas.openxmlformats.org/drawingml/2006/main">
                  <a:graphicData uri="http://schemas.microsoft.com/office/word/2010/wordprocessingShape">
                    <wps:wsp>
                      <wps:cNvSpPr txBox="1"/>
                      <wps:spPr>
                        <a:xfrm>
                          <a:off x="0" y="0"/>
                          <a:ext cx="6114415" cy="222250"/>
                        </a:xfrm>
                        <a:prstGeom prst="rect">
                          <a:avLst/>
                        </a:prstGeom>
                        <a:noFill/>
                        <a:ln w="6350">
                          <a:noFill/>
                        </a:ln>
                      </wps:spPr>
                      <wps:txbx>
                        <w:txbxContent>
                          <w:p w14:paraId="0F081F04" w14:textId="0C4A1EB9" w:rsidR="001D37DC" w:rsidRPr="003C4A13" w:rsidRDefault="00351B28" w:rsidP="00DC6865">
                            <w:pPr>
                              <w:spacing w:after="0" w:line="216" w:lineRule="auto"/>
                              <w:rPr>
                                <w:bCs/>
                                <w:caps/>
                                <w:color w:val="FFFFFF" w:themeColor="background1"/>
                              </w:rPr>
                            </w:pPr>
                            <w:r>
                              <w:rPr>
                                <w:bCs/>
                                <w:caps/>
                                <w:color w:val="FFFFFF" w:themeColor="background1"/>
                              </w:rPr>
                              <w:t>AgIncentives project note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94448" id="_x0000_t202" coordsize="21600,21600" o:spt="202" path="m,l,21600r21600,l21600,xe">
                <v:stroke joinstyle="miter"/>
                <v:path gradientshapeok="t" o:connecttype="rect"/>
              </v:shapetype>
              <v:shape id="Text Box 24" o:spid="_x0000_s1026" type="#_x0000_t202" style="position:absolute;margin-left:-32.1pt;margin-top:125.8pt;width:481.45pt;height:17.5pt;z-index:251660288;visibility:visible;mso-wrap-style:square;mso-width-percent:0;mso-height-percent:0;mso-wrap-distance-left:9pt;mso-wrap-distance-top:0;mso-wrap-distance-right:9pt;mso-wrap-distance-bottom:45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" filled="f" stroked="f" strokeweight=".5pt">
                <v:textbox inset="0,0,0,0">
                  <w:txbxContent>
                    <w:p w14:paraId="0F081F04" w14:textId="0C4A1EB9" w:rsidR="001D37DC" w:rsidRPr="003C4A13" w:rsidRDefault="00351B28" w:rsidP="00DC6865">
                      <w:pPr>
                        <w:spacing w:after="0" w:line="216" w:lineRule="auto"/>
                        <w:rPr>
                          <w:bCs/>
                          <w:caps/>
                          <w:color w:val="FFFFFF" w:themeColor="background1"/>
                        </w:rPr>
                      </w:pPr>
                      <w:r>
                        <w:rPr>
                          <w:bCs/>
                          <w:caps/>
                          <w:color w:val="FFFFFF" w:themeColor="background1"/>
                        </w:rPr>
                        <w:t>AgIncentives project note 1</w:t>
                      </w:r>
                    </w:p>
                  </w:txbxContent>
                </v:textbox>
                <w10:wrap type="topAndBottom" anchorx="margin" anchory="page"/>
              </v:shape>
            </w:pict>
          </mc:Fallback>
        </mc:AlternateContent>
      </w:r>
      <w:r w:rsidR="00F63A0D" w:rsidRPr="00167440">
        <w:rPr>
          <w:rFonts w:asciiTheme="minorHAnsi" w:hAnsiTheme="minorHAnsi" w:cstheme="minorHAnsi"/>
          <w:noProof/>
          <w:sz w:val="72"/>
          <w:szCs w:val="72"/>
        </w:rPr>
        <mc:AlternateContent>
          <mc:Choice Requires="wps">
            <w:drawing>
              <wp:anchor distT="0" distB="571500" distL="114300" distR="114300" simplePos="0" relativeHeight="251662336" behindDoc="0" locked="0" layoutInCell="1" allowOverlap="1" wp14:anchorId="5ABEE91E" wp14:editId="46836874">
                <wp:simplePos x="0" y="0"/>
                <wp:positionH relativeFrom="margin">
                  <wp:posOffset>5722620</wp:posOffset>
                </wp:positionH>
                <wp:positionV relativeFrom="page">
                  <wp:posOffset>1590040</wp:posOffset>
                </wp:positionV>
                <wp:extent cx="1190625" cy="228600"/>
                <wp:effectExtent l="0" t="0" r="9525" b="0"/>
                <wp:wrapTopAndBottom/>
                <wp:docPr id="21" name="Text Box 21"/>
                <wp:cNvGraphicFramePr/>
                <a:graphic xmlns:a="http://schemas.openxmlformats.org/drawingml/2006/main">
                  <a:graphicData uri="http://schemas.microsoft.com/office/word/2010/wordprocessingShape">
                    <wps:wsp>
                      <wps:cNvSpPr txBox="1"/>
                      <wps:spPr>
                        <a:xfrm>
                          <a:off x="0" y="0"/>
                          <a:ext cx="1190625" cy="228600"/>
                        </a:xfrm>
                        <a:prstGeom prst="rect">
                          <a:avLst/>
                        </a:prstGeom>
                        <a:noFill/>
                        <a:ln w="6350">
                          <a:noFill/>
                        </a:ln>
                      </wps:spPr>
                      <wps:txbx>
                        <w:txbxContent>
                          <w:p w14:paraId="09ECD413" w14:textId="18995346" w:rsidR="001D37DC" w:rsidRPr="0087535F" w:rsidRDefault="00351B28" w:rsidP="0087535F">
                            <w:pPr>
                              <w:spacing w:after="0" w:line="216" w:lineRule="auto"/>
                              <w:jc w:val="right"/>
                              <w:rPr>
                                <w:color w:val="FFFFFF" w:themeColor="background1"/>
                              </w:rPr>
                            </w:pPr>
                            <w:r>
                              <w:rPr>
                                <w:caps/>
                                <w:color w:val="FFFFFF" w:themeColor="background1"/>
                              </w:rPr>
                              <w:t>april</w:t>
                            </w:r>
                            <w:r w:rsidR="001D37DC">
                              <w:rPr>
                                <w:caps/>
                                <w:color w:val="FFFFFF" w:themeColor="background1"/>
                              </w:rPr>
                              <w:t xml:space="preserve"> 202</w:t>
                            </w:r>
                            <w:r>
                              <w:rPr>
                                <w:caps/>
                                <w:color w:val="FFFFFF" w:themeColor="background1"/>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E91E" id="Text Box 21" o:spid="_x0000_s1027" type="#_x0000_t202" style="position:absolute;margin-left:450.6pt;margin-top:125.2pt;width:93.75pt;height:18pt;z-index:251662336;visibility:visible;mso-wrap-style:square;mso-width-percent:0;mso-height-percent:0;mso-wrap-distance-left:9pt;mso-wrap-distance-top:0;mso-wrap-distance-right:9pt;mso-wrap-distance-bottom:45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" filled="f" stroked="f" strokeweight=".5pt">
                <v:textbox inset="0,0,0,0">
                  <w:txbxContent>
                    <w:p w14:paraId="09ECD413" w14:textId="18995346" w:rsidR="001D37DC" w:rsidRPr="0087535F" w:rsidRDefault="00351B28" w:rsidP="0087535F">
                      <w:pPr>
                        <w:spacing w:after="0" w:line="216" w:lineRule="auto"/>
                        <w:jc w:val="right"/>
                        <w:rPr>
                          <w:color w:val="FFFFFF" w:themeColor="background1"/>
                        </w:rPr>
                      </w:pPr>
                      <w:r>
                        <w:rPr>
                          <w:caps/>
                          <w:color w:val="FFFFFF" w:themeColor="background1"/>
                        </w:rPr>
                        <w:t>april</w:t>
                      </w:r>
                      <w:r w:rsidR="001D37DC">
                        <w:rPr>
                          <w:caps/>
                          <w:color w:val="FFFFFF" w:themeColor="background1"/>
                        </w:rPr>
                        <w:t xml:space="preserve"> 202</w:t>
                      </w:r>
                      <w:r>
                        <w:rPr>
                          <w:caps/>
                          <w:color w:val="FFFFFF" w:themeColor="background1"/>
                        </w:rPr>
                        <w:t>5</w:t>
                      </w:r>
                    </w:p>
                  </w:txbxContent>
                </v:textbox>
                <w10:wrap type="topAndBottom" anchorx="margin" anchory="page"/>
              </v:shape>
            </w:pict>
          </mc:Fallback>
        </mc:AlternateContent>
      </w:r>
      <w:r w:rsidR="00871D3E" w:rsidRPr="00167440">
        <w:rPr>
          <w:rFonts w:asciiTheme="minorHAnsi" w:hAnsiTheme="minorHAnsi" w:cstheme="minorHAnsi"/>
          <w:noProof/>
          <w:sz w:val="72"/>
          <w:szCs w:val="72"/>
        </w:rPr>
        <mc:AlternateContent>
          <mc:Choice Requires="wps">
            <w:drawing>
              <wp:anchor distT="0" distB="0" distL="114300" distR="114300" simplePos="0" relativeHeight="251656192" behindDoc="0" locked="0" layoutInCell="1" allowOverlap="1" wp14:anchorId="1F2202F5" wp14:editId="4D0810D3">
                <wp:simplePos x="0" y="0"/>
                <wp:positionH relativeFrom="page">
                  <wp:posOffset>0</wp:posOffset>
                </wp:positionH>
                <wp:positionV relativeFrom="page">
                  <wp:posOffset>0</wp:posOffset>
                </wp:positionV>
                <wp:extent cx="7772400" cy="1600200"/>
                <wp:effectExtent l="0" t="0" r="0" b="0"/>
                <wp:wrapTopAndBottom/>
                <wp:docPr id="25" name="Rectangle 25"/>
                <wp:cNvGraphicFramePr/>
                <a:graphic xmlns:a="http://schemas.openxmlformats.org/drawingml/2006/main">
                  <a:graphicData uri="http://schemas.microsoft.com/office/word/2010/wordprocessingShape">
                    <wps:wsp>
                      <wps:cNvSpPr/>
                      <wps:spPr>
                        <a:xfrm>
                          <a:off x="0" y="0"/>
                          <a:ext cx="7772400" cy="1600200"/>
                        </a:xfrm>
                        <a:prstGeom prst="rect">
                          <a:avLst/>
                        </a:prstGeom>
                        <a:gradFill flip="none" rotWithShape="1">
                          <a:gsLst>
                            <a:gs pos="0">
                              <a:schemeClr val="accent1"/>
                            </a:gs>
                            <a:gs pos="84000">
                              <a:schemeClr val="accent6"/>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B1B4D3C" id="Rectangle 25" o:spid="_x0000_s1026" style="position:absolute;margin-left:0;margin-top:0;width:612pt;height:126pt;z-index:25165619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" fillcolor="#00ae9a [3204]" stroked="f" strokeweight="2pt">
                <v:fill color2="#3d5567 [3209]" rotate="t" colors="0 #00ae9a;55050f #3d5567" focus="100%" type="gradientRadial"/>
                <v:textbox inset="0,0,0,0"/>
                <w10:wrap type="topAndBottom" anchorx="page" anchory="page"/>
              </v:rect>
            </w:pict>
          </mc:Fallback>
        </mc:AlternateContent>
      </w:r>
      <w:r w:rsidR="00871D3E" w:rsidRPr="00167440">
        <w:rPr>
          <w:rFonts w:asciiTheme="minorHAnsi" w:hAnsiTheme="minorHAnsi" w:cstheme="minorHAnsi"/>
          <w:noProof/>
          <w:sz w:val="72"/>
          <w:szCs w:val="72"/>
        </w:rPr>
        <mc:AlternateContent>
          <mc:Choice Requires="wps">
            <w:drawing>
              <wp:anchor distT="0" distB="0" distL="114300" distR="114300" simplePos="0" relativeHeight="251654144" behindDoc="0" locked="0" layoutInCell="1" allowOverlap="1" wp14:anchorId="5F9A1639" wp14:editId="52AFAD18">
                <wp:simplePos x="0" y="0"/>
                <wp:positionH relativeFrom="page">
                  <wp:posOffset>0</wp:posOffset>
                </wp:positionH>
                <wp:positionV relativeFrom="page">
                  <wp:posOffset>1600200</wp:posOffset>
                </wp:positionV>
                <wp:extent cx="7772400" cy="228600"/>
                <wp:effectExtent l="0" t="0" r="0" b="0"/>
                <wp:wrapTopAndBottom/>
                <wp:docPr id="22" name="Rectangle 22"/>
                <wp:cNvGraphicFramePr/>
                <a:graphic xmlns:a="http://schemas.openxmlformats.org/drawingml/2006/main">
                  <a:graphicData uri="http://schemas.microsoft.com/office/word/2010/wordprocessingShape">
                    <wps:wsp>
                      <wps:cNvSpPr/>
                      <wps:spPr>
                        <a:xfrm>
                          <a:off x="0" y="0"/>
                          <a:ext cx="7772400" cy="228600"/>
                        </a:xfrm>
                        <a:prstGeom prst="rect">
                          <a:avLst/>
                        </a:prstGeom>
                        <a:gradFill flip="none" rotWithShape="1">
                          <a:gsLst>
                            <a:gs pos="0">
                              <a:schemeClr val="bg2"/>
                            </a:gs>
                            <a:gs pos="84000">
                              <a:schemeClr val="tx2"/>
                            </a:gs>
                          </a:gsLst>
                          <a:path path="circle">
                            <a:fillToRect r="100000" b="100000"/>
                          </a:path>
                          <a:tileRect l="-100000" t="-100000"/>
                        </a:gradFill>
                        <a:ln w="6350">
                          <a:noFill/>
                        </a:ln>
                      </wps:spPr>
                      <wps:bodyPr rot="0" spcFirstLastPara="0" vertOverflow="overflow" horzOverflow="overflow" vert="horz" wrap="square" lIns="685800" tIns="0" rIns="685800" bIns="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DAC260A" id="Rectangle 22" o:spid="_x0000_s1026" style="position:absolute;margin-left:0;margin-top:126pt;width:612pt;height:18pt;z-index:25165414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" fillcolor="#c4d82e [3214]" stroked="f" strokeweight=".5pt">
                <v:fill color2="#62bb46 [3215]" rotate="t" colors="0 #c4d82e;55050f #62bb46" focus="100%" type="gradientRadial"/>
                <v:textbox inset="54pt,0,54pt,0"/>
                <w10:wrap type="topAndBottom" anchorx="page" anchory="page"/>
              </v:rect>
            </w:pict>
          </mc:Fallback>
        </mc:AlternateContent>
      </w:r>
      <w:r w:rsidR="00173F10" w:rsidRPr="00167440">
        <w:rPr>
          <w:rFonts w:asciiTheme="minorHAnsi" w:hAnsiTheme="minorHAnsi" w:cstheme="minorHAnsi"/>
          <w:bCs/>
          <w:color w:val="00B050"/>
          <w:sz w:val="72"/>
          <w:szCs w:val="72"/>
        </w:rPr>
        <w:t>Introducing the Updated AgIncentives Database</w:t>
      </w:r>
    </w:p>
    <w:p w14:paraId="08C75E03" w14:textId="77777777" w:rsidR="000B5C84" w:rsidRPr="00A55A51" w:rsidRDefault="000B5C84" w:rsidP="000B5C84">
      <w:pPr>
        <w:rPr>
          <w:rFonts w:cstheme="minorHAnsi"/>
        </w:rPr>
      </w:pPr>
    </w:p>
    <w:p w14:paraId="2EA42789" w14:textId="77777777" w:rsidR="000B5C84" w:rsidRPr="00C5007B" w:rsidRDefault="000B5C84" w:rsidP="009E09FD">
      <w:pPr>
        <w:autoSpaceDE w:val="0"/>
        <w:autoSpaceDN w:val="0"/>
        <w:adjustRightInd w:val="0"/>
        <w:rPr>
          <w:rFonts w:cstheme="minorHAnsi"/>
          <w:sz w:val="28"/>
          <w:szCs w:val="28"/>
        </w:rPr>
      </w:pPr>
      <w:r w:rsidRPr="00C5007B">
        <w:rPr>
          <w:rFonts w:cstheme="minorHAnsi"/>
          <w:sz w:val="28"/>
          <w:szCs w:val="28"/>
        </w:rPr>
        <w:t>David Laborde</w:t>
      </w:r>
      <w:r w:rsidRPr="00C5007B">
        <w:rPr>
          <w:rFonts w:cstheme="minorHAnsi"/>
          <w:sz w:val="28"/>
          <w:szCs w:val="28"/>
          <w:vertAlign w:val="superscript"/>
        </w:rPr>
        <w:t>1</w:t>
      </w:r>
      <w:r w:rsidRPr="00C5007B">
        <w:rPr>
          <w:rFonts w:cstheme="minorHAnsi"/>
          <w:sz w:val="28"/>
          <w:szCs w:val="28"/>
        </w:rPr>
        <w:t>, Tess Lallemant</w:t>
      </w:r>
      <w:r w:rsidRPr="00C5007B">
        <w:rPr>
          <w:rFonts w:cstheme="minorHAnsi"/>
          <w:sz w:val="28"/>
          <w:szCs w:val="28"/>
          <w:vertAlign w:val="superscript"/>
        </w:rPr>
        <w:t>2</w:t>
      </w:r>
      <w:r w:rsidRPr="00C5007B">
        <w:rPr>
          <w:rFonts w:cstheme="minorHAnsi"/>
          <w:sz w:val="28"/>
          <w:szCs w:val="28"/>
        </w:rPr>
        <w:t>, Fahd Majeed</w:t>
      </w:r>
      <w:r w:rsidRPr="00C5007B">
        <w:rPr>
          <w:rFonts w:cstheme="minorHAnsi"/>
          <w:sz w:val="28"/>
          <w:szCs w:val="28"/>
          <w:vertAlign w:val="superscript"/>
        </w:rPr>
        <w:t>3</w:t>
      </w:r>
      <w:r w:rsidRPr="00C5007B">
        <w:rPr>
          <w:rFonts w:cstheme="minorHAnsi"/>
          <w:sz w:val="28"/>
          <w:szCs w:val="28"/>
        </w:rPr>
        <w:t>, Abdullah Mamun</w:t>
      </w:r>
      <w:r w:rsidRPr="00C5007B">
        <w:rPr>
          <w:rFonts w:cstheme="minorHAnsi"/>
          <w:sz w:val="28"/>
          <w:szCs w:val="28"/>
          <w:vertAlign w:val="superscript"/>
        </w:rPr>
        <w:t>4</w:t>
      </w:r>
      <w:r w:rsidRPr="00C5007B">
        <w:rPr>
          <w:rFonts w:cstheme="minorHAnsi"/>
          <w:sz w:val="28"/>
          <w:szCs w:val="28"/>
        </w:rPr>
        <w:t>, Will Martin</w:t>
      </w:r>
      <w:r w:rsidRPr="00C5007B">
        <w:rPr>
          <w:rFonts w:cstheme="minorHAnsi"/>
          <w:sz w:val="28"/>
          <w:szCs w:val="28"/>
          <w:vertAlign w:val="superscript"/>
        </w:rPr>
        <w:t>4</w:t>
      </w:r>
      <w:r w:rsidRPr="00C5007B">
        <w:rPr>
          <w:rFonts w:cstheme="minorHAnsi"/>
          <w:sz w:val="28"/>
          <w:szCs w:val="28"/>
        </w:rPr>
        <w:t xml:space="preserve"> and Simla Tokgoz*</w:t>
      </w:r>
      <w:r w:rsidRPr="00C5007B">
        <w:rPr>
          <w:rFonts w:cstheme="minorHAnsi"/>
          <w:sz w:val="28"/>
          <w:szCs w:val="28"/>
          <w:vertAlign w:val="superscript"/>
        </w:rPr>
        <w:t>5</w:t>
      </w:r>
      <w:r w:rsidRPr="00C5007B">
        <w:rPr>
          <w:rFonts w:cstheme="minorHAnsi"/>
          <w:sz w:val="28"/>
          <w:szCs w:val="28"/>
        </w:rPr>
        <w:t xml:space="preserve"> </w:t>
      </w:r>
    </w:p>
    <w:p w14:paraId="0BF81F9F" w14:textId="77777777" w:rsidR="00872F7C" w:rsidRPr="00A55A51" w:rsidRDefault="00872F7C" w:rsidP="009B2AB1">
      <w:pPr>
        <w:pStyle w:val="Author"/>
        <w:rPr>
          <w:rFonts w:asciiTheme="minorHAnsi" w:hAnsiTheme="minorHAnsi" w:cstheme="minorHAnsi"/>
          <w:lang w:val="fr-FR"/>
        </w:rPr>
      </w:pPr>
    </w:p>
    <w:p w14:paraId="1BDB7805" w14:textId="77777777" w:rsidR="00872F7C" w:rsidRPr="00A55A51" w:rsidRDefault="00872F7C" w:rsidP="009B2AB1">
      <w:pPr>
        <w:pStyle w:val="Author"/>
        <w:rPr>
          <w:rFonts w:asciiTheme="minorHAnsi" w:hAnsiTheme="minorHAnsi" w:cstheme="minorHAnsi"/>
          <w:lang w:val="fr-FR"/>
        </w:rPr>
      </w:pPr>
    </w:p>
    <w:p w14:paraId="6031E8AC" w14:textId="77777777" w:rsidR="00872F7C" w:rsidRPr="00A55A51" w:rsidRDefault="00872F7C" w:rsidP="009B2AB1">
      <w:pPr>
        <w:pStyle w:val="Author"/>
        <w:rPr>
          <w:rFonts w:asciiTheme="minorHAnsi" w:hAnsiTheme="minorHAnsi" w:cstheme="minorHAnsi"/>
          <w:lang w:val="fr-FR"/>
        </w:rPr>
      </w:pPr>
    </w:p>
    <w:p w14:paraId="2BA34677" w14:textId="77777777" w:rsidR="00872F7C" w:rsidRPr="00A55A51" w:rsidRDefault="00872F7C" w:rsidP="009B2AB1">
      <w:pPr>
        <w:pStyle w:val="Author"/>
        <w:rPr>
          <w:rFonts w:asciiTheme="minorHAnsi" w:hAnsiTheme="minorHAnsi" w:cstheme="minorHAnsi"/>
          <w:lang w:val="fr-FR"/>
        </w:rPr>
      </w:pPr>
    </w:p>
    <w:p w14:paraId="066EC27F" w14:textId="77777777" w:rsidR="00872F7C" w:rsidRPr="00A55A51" w:rsidRDefault="00872F7C" w:rsidP="009B2AB1">
      <w:pPr>
        <w:pStyle w:val="Author"/>
        <w:rPr>
          <w:rFonts w:asciiTheme="minorHAnsi" w:hAnsiTheme="minorHAnsi" w:cstheme="minorHAnsi"/>
          <w:lang w:val="fr-FR"/>
        </w:rPr>
      </w:pPr>
    </w:p>
    <w:p w14:paraId="56CF6937" w14:textId="77777777" w:rsidR="00872F7C" w:rsidRPr="00A55A51" w:rsidRDefault="00872F7C" w:rsidP="009B2AB1">
      <w:pPr>
        <w:pStyle w:val="Author"/>
        <w:rPr>
          <w:rFonts w:asciiTheme="minorHAnsi" w:hAnsiTheme="minorHAnsi" w:cstheme="minorHAnsi"/>
          <w:lang w:val="fr-FR"/>
        </w:rPr>
      </w:pPr>
    </w:p>
    <w:p w14:paraId="65240DDA" w14:textId="77777777" w:rsidR="00872F7C" w:rsidRPr="00A55A51" w:rsidRDefault="00872F7C" w:rsidP="009B2AB1">
      <w:pPr>
        <w:pStyle w:val="Author"/>
        <w:rPr>
          <w:rFonts w:asciiTheme="minorHAnsi" w:hAnsiTheme="minorHAnsi" w:cstheme="minorHAnsi"/>
          <w:lang w:val="fr-FR"/>
        </w:rPr>
      </w:pPr>
    </w:p>
    <w:p w14:paraId="78F171C5" w14:textId="77777777" w:rsidR="00872F7C" w:rsidRPr="00A55A51" w:rsidRDefault="00872F7C" w:rsidP="009B2AB1">
      <w:pPr>
        <w:pStyle w:val="Author"/>
        <w:rPr>
          <w:rFonts w:asciiTheme="minorHAnsi" w:hAnsiTheme="minorHAnsi" w:cstheme="minorHAnsi"/>
          <w:lang w:val="fr-FR"/>
        </w:rPr>
      </w:pPr>
    </w:p>
    <w:p w14:paraId="4EEBFACB" w14:textId="77777777" w:rsidR="00872F7C" w:rsidRPr="00A55A51" w:rsidRDefault="00872F7C" w:rsidP="009B2AB1">
      <w:pPr>
        <w:pStyle w:val="Author"/>
        <w:rPr>
          <w:rFonts w:asciiTheme="minorHAnsi" w:hAnsiTheme="minorHAnsi" w:cstheme="minorHAnsi"/>
          <w:lang w:val="fr-FR"/>
        </w:rPr>
      </w:pPr>
    </w:p>
    <w:p w14:paraId="58E18459" w14:textId="77777777" w:rsidR="00872F7C" w:rsidRPr="00A55A51" w:rsidRDefault="00872F7C" w:rsidP="009B2AB1">
      <w:pPr>
        <w:pStyle w:val="Author"/>
        <w:rPr>
          <w:rFonts w:asciiTheme="minorHAnsi" w:hAnsiTheme="minorHAnsi" w:cstheme="minorHAnsi"/>
          <w:lang w:val="fr-FR"/>
        </w:rPr>
      </w:pPr>
    </w:p>
    <w:p w14:paraId="16EEF194" w14:textId="77777777" w:rsidR="00872F7C" w:rsidRPr="00A55A51" w:rsidRDefault="00872F7C" w:rsidP="00872F7C">
      <w:pPr>
        <w:spacing w:after="0"/>
        <w:rPr>
          <w:rFonts w:cstheme="minorHAnsi"/>
        </w:rPr>
      </w:pPr>
      <w:r w:rsidRPr="00A55A51">
        <w:rPr>
          <w:rFonts w:cstheme="minorHAnsi"/>
        </w:rPr>
        <w:t xml:space="preserve">1. Food and Agriculture Organization (FAO), Rome, Italy. </w:t>
      </w:r>
    </w:p>
    <w:p w14:paraId="67B6811F" w14:textId="77777777" w:rsidR="00872F7C" w:rsidRPr="00A55A51" w:rsidRDefault="00872F7C" w:rsidP="00872F7C">
      <w:pPr>
        <w:spacing w:after="0"/>
        <w:rPr>
          <w:rFonts w:cstheme="minorHAnsi"/>
        </w:rPr>
      </w:pPr>
      <w:r w:rsidRPr="00A55A51">
        <w:rPr>
          <w:rFonts w:cstheme="minorHAnsi"/>
        </w:rPr>
        <w:t>2. Institute for Sustainability, Energy, and Environment (</w:t>
      </w:r>
      <w:proofErr w:type="spellStart"/>
      <w:r w:rsidRPr="00A55A51">
        <w:rPr>
          <w:rFonts w:cstheme="minorHAnsi"/>
        </w:rPr>
        <w:t>iSEE</w:t>
      </w:r>
      <w:proofErr w:type="spellEnd"/>
      <w:r w:rsidRPr="00A55A51">
        <w:rPr>
          <w:rFonts w:cstheme="minorHAnsi"/>
        </w:rPr>
        <w:t xml:space="preserve">), University of Illinois </w:t>
      </w:r>
    </w:p>
    <w:p w14:paraId="5F84719B" w14:textId="77777777" w:rsidR="00872F7C" w:rsidRPr="00A55A51" w:rsidRDefault="00872F7C" w:rsidP="00872F7C">
      <w:pPr>
        <w:spacing w:after="0"/>
        <w:rPr>
          <w:rFonts w:cstheme="minorHAnsi"/>
        </w:rPr>
      </w:pPr>
      <w:r w:rsidRPr="00A55A51">
        <w:rPr>
          <w:rFonts w:cstheme="minorHAnsi"/>
        </w:rPr>
        <w:t>3. Dyson School of Applied Economics and Management, Cornell University</w:t>
      </w:r>
    </w:p>
    <w:p w14:paraId="77071DFF" w14:textId="77777777" w:rsidR="00872F7C" w:rsidRPr="00A55A51" w:rsidRDefault="00872F7C" w:rsidP="00872F7C">
      <w:pPr>
        <w:spacing w:after="0"/>
        <w:rPr>
          <w:rFonts w:cstheme="minorHAnsi"/>
        </w:rPr>
      </w:pPr>
      <w:r w:rsidRPr="00A55A51">
        <w:rPr>
          <w:rFonts w:cstheme="minorHAnsi"/>
        </w:rPr>
        <w:t>4. International Food Policy Research Institute (IFPRI)</w:t>
      </w:r>
    </w:p>
    <w:p w14:paraId="6716C5E8" w14:textId="77777777" w:rsidR="00872F7C" w:rsidRPr="00A55A51" w:rsidRDefault="00872F7C" w:rsidP="00872F7C">
      <w:pPr>
        <w:spacing w:after="0"/>
        <w:rPr>
          <w:rFonts w:cstheme="minorHAnsi"/>
        </w:rPr>
      </w:pPr>
      <w:r w:rsidRPr="00A55A51">
        <w:rPr>
          <w:rFonts w:cstheme="minorHAnsi"/>
        </w:rPr>
        <w:t>5. Economic Research Service (ERS), United States Department of Agriculture (USDA)</w:t>
      </w:r>
    </w:p>
    <w:p w14:paraId="1A63AC84" w14:textId="77777777" w:rsidR="005B7821" w:rsidRPr="00A55A51" w:rsidRDefault="005B7821" w:rsidP="00872F7C">
      <w:pPr>
        <w:spacing w:after="0"/>
        <w:rPr>
          <w:rFonts w:cstheme="minorHAnsi"/>
        </w:rPr>
      </w:pPr>
    </w:p>
    <w:p w14:paraId="10155257" w14:textId="77777777" w:rsidR="005B7821" w:rsidRPr="00A55A51" w:rsidRDefault="005B7821" w:rsidP="005B7821">
      <w:pPr>
        <w:spacing w:after="120"/>
        <w:rPr>
          <w:rFonts w:cstheme="minorHAnsi"/>
        </w:rPr>
      </w:pPr>
      <w:r w:rsidRPr="00A55A51">
        <w:rPr>
          <w:rFonts w:cstheme="minorHAnsi"/>
        </w:rPr>
        <w:t>*The original version of this paper was completed while Simla Tokgoz was Research Fellow at IFPRI. The findings and conclusions in this paper are those of the authors and should not be construed to represent any official USDA or USA Government determination or policy.</w:t>
      </w:r>
    </w:p>
    <w:p w14:paraId="69AF9941" w14:textId="244FD92B" w:rsidR="00EE34B1" w:rsidRPr="00A55A51" w:rsidRDefault="00EE34B1">
      <w:pPr>
        <w:rPr>
          <w:rFonts w:cstheme="minorHAnsi"/>
          <w:b/>
          <w:color w:val="595959" w:themeColor="text1" w:themeTint="A6"/>
          <w:sz w:val="24"/>
          <w:lang w:val="fr-FR"/>
        </w:rPr>
      </w:pPr>
      <w:r w:rsidRPr="00A55A51">
        <w:rPr>
          <w:rFonts w:cstheme="minorHAnsi"/>
          <w:lang w:val="fr-FR"/>
        </w:rPr>
        <w:br w:type="page"/>
      </w:r>
    </w:p>
    <w:p w14:paraId="57E7F3E0" w14:textId="1BF4F182" w:rsidR="00EE34B1" w:rsidRPr="00A55A51" w:rsidRDefault="00A722FE" w:rsidP="00EE34B1">
      <w:pPr>
        <w:pStyle w:val="Heading1"/>
        <w:rPr>
          <w:rFonts w:asciiTheme="minorHAnsi" w:hAnsiTheme="minorHAnsi" w:cstheme="minorHAnsi"/>
        </w:rPr>
      </w:pPr>
      <w:bookmarkStart w:id="1" w:name="_Toc195126848"/>
      <w:r w:rsidRPr="00A55A51">
        <w:rPr>
          <w:rFonts w:asciiTheme="minorHAnsi" w:hAnsiTheme="minorHAnsi" w:cstheme="minorHAnsi"/>
        </w:rPr>
        <w:lastRenderedPageBreak/>
        <w:t>Abstract</w:t>
      </w:r>
      <w:bookmarkEnd w:id="1"/>
    </w:p>
    <w:p w14:paraId="44EED373" w14:textId="77777777" w:rsidR="007E29AE" w:rsidRPr="00A55A51" w:rsidRDefault="007E29AE" w:rsidP="007E29AE">
      <w:pPr>
        <w:rPr>
          <w:rFonts w:cstheme="minorHAnsi"/>
        </w:rPr>
      </w:pPr>
      <w:r w:rsidRPr="00A55A51">
        <w:rPr>
          <w:rFonts w:cstheme="minorHAnsi"/>
        </w:rPr>
        <w:t xml:space="preserve">Prior to the 1980s, information on agricultural incentives provided by governments was extremely limited and difficult to access. Much debate took place without agreed measures of policy settings. During the 1980s, the OECD began to collect detailed information on agricultural incentives in member countries, but data remained fragmentary for developing countries. The only close-to-global information on agricultural distortions was provided by a one-off study undertaken by Kym Anderson at the World Bank, completed in 2009. The objective of this initiative is to bring together information on agricultural incentives from AgIncentives Consortium, comprised of five key institutions: Food and Agriculture Organization (FAO); the Inter-American Development Bank (IDB); International Food Policy Research Institute (IFPRI); the Organization for Economic Co-operation and Development (OECD), and the World Bank. The resulting data are presented in a consistent format at </w:t>
      </w:r>
      <w:hyperlink r:id="rId14" w:history="1">
        <w:r w:rsidRPr="00A55A51">
          <w:rPr>
            <w:rStyle w:val="Hyperlink"/>
            <w:rFonts w:cstheme="minorHAnsi"/>
          </w:rPr>
          <w:t>http://www.agincentives.org</w:t>
        </w:r>
      </w:hyperlink>
      <w:r w:rsidRPr="00A55A51">
        <w:rPr>
          <w:rFonts w:cstheme="minorHAnsi"/>
        </w:rPr>
        <w:t xml:space="preserve">. The databases accompanied with this note is product of the AgIncentives Consortium. This paper discusses the methods used and the coverage of this database, and its potential value to economic modelers. </w:t>
      </w:r>
    </w:p>
    <w:p w14:paraId="03493160" w14:textId="77777777" w:rsidR="001D37DC" w:rsidRPr="00A55A51" w:rsidRDefault="001D37DC">
      <w:pPr>
        <w:rPr>
          <w:rFonts w:cstheme="minorHAnsi"/>
        </w:rPr>
      </w:pPr>
      <w:r w:rsidRPr="00A55A51">
        <w:rPr>
          <w:rFonts w:cstheme="minorHAnsi"/>
        </w:rPr>
        <w:br w:type="page"/>
      </w:r>
    </w:p>
    <w:p w14:paraId="37485035" w14:textId="177E7AE0" w:rsidR="00EE34B1" w:rsidRPr="00A55A51" w:rsidRDefault="001D37DC" w:rsidP="001D37DC">
      <w:pPr>
        <w:pStyle w:val="Heading1"/>
        <w:rPr>
          <w:rFonts w:asciiTheme="minorHAnsi" w:hAnsiTheme="minorHAnsi" w:cstheme="minorHAnsi"/>
          <w:sz w:val="28"/>
        </w:rPr>
      </w:pPr>
      <w:bookmarkStart w:id="2" w:name="_Toc195126849"/>
      <w:r w:rsidRPr="00A55A51">
        <w:rPr>
          <w:rFonts w:asciiTheme="minorHAnsi" w:hAnsiTheme="minorHAnsi" w:cstheme="minorHAnsi"/>
          <w:sz w:val="28"/>
        </w:rPr>
        <w:lastRenderedPageBreak/>
        <w:t>Acknowledgement</w:t>
      </w:r>
      <w:bookmarkEnd w:id="2"/>
      <w:r w:rsidRPr="00A55A51">
        <w:rPr>
          <w:rFonts w:asciiTheme="minorHAnsi" w:hAnsiTheme="minorHAnsi" w:cstheme="minorHAnsi"/>
          <w:sz w:val="28"/>
        </w:rPr>
        <w:t xml:space="preserve"> </w:t>
      </w:r>
    </w:p>
    <w:p w14:paraId="296FFD50" w14:textId="77777777" w:rsidR="003F6683" w:rsidRPr="00A55A51" w:rsidRDefault="003F6683" w:rsidP="003F6683">
      <w:pPr>
        <w:spacing w:after="120"/>
        <w:rPr>
          <w:rFonts w:cstheme="minorHAnsi"/>
        </w:rPr>
      </w:pPr>
      <w:r w:rsidRPr="00A55A51">
        <w:rPr>
          <w:rFonts w:cstheme="minorHAnsi"/>
        </w:rPr>
        <w:t>We are grateful to the One CGIAR Initiative on ‘Rethinking Food Markets for Inclusion and Sustainability’ and to the Federal Ministry for Economic Cooperation and Development (BMZ) of Germany for financial support for the maintenance and enhancement of the AgIncentives database and website.</w:t>
      </w:r>
    </w:p>
    <w:p w14:paraId="68F212AF" w14:textId="7B41E15F" w:rsidR="005774C0" w:rsidRPr="00A55A51" w:rsidRDefault="005774C0" w:rsidP="00680484">
      <w:pPr>
        <w:rPr>
          <w:rFonts w:cstheme="minorHAnsi"/>
        </w:rPr>
      </w:pPr>
      <w:r w:rsidRPr="00A55A51">
        <w:rPr>
          <w:rFonts w:cstheme="minorHAnsi"/>
        </w:rPr>
        <w:br w:type="page"/>
      </w:r>
    </w:p>
    <w:sdt>
      <w:sdtPr>
        <w:rPr>
          <w:rFonts w:asciiTheme="minorHAnsi" w:eastAsiaTheme="minorEastAsia" w:hAnsiTheme="minorHAnsi" w:cstheme="minorHAnsi"/>
          <w:b w:val="0"/>
          <w:bCs w:val="0"/>
          <w:caps w:val="0"/>
          <w:color w:val="auto"/>
          <w:sz w:val="20"/>
          <w:szCs w:val="24"/>
        </w:rPr>
        <w:id w:val="2084946413"/>
        <w:docPartObj>
          <w:docPartGallery w:val="Table of Contents"/>
          <w:docPartUnique/>
        </w:docPartObj>
      </w:sdtPr>
      <w:sdtEndPr>
        <w:rPr>
          <w:b/>
          <w:noProof/>
          <w:sz w:val="22"/>
          <w:szCs w:val="22"/>
        </w:rPr>
      </w:sdtEndPr>
      <w:sdtContent>
        <w:p w14:paraId="29C3AD73" w14:textId="77777777" w:rsidR="00D077C9" w:rsidRPr="00A55A51" w:rsidRDefault="00D077C9" w:rsidP="00D077C9">
          <w:pPr>
            <w:pStyle w:val="TOCHeading"/>
            <w:rPr>
              <w:rFonts w:asciiTheme="minorHAnsi" w:hAnsiTheme="minorHAnsi" w:cstheme="minorHAnsi"/>
              <w:vanish/>
              <w:specVanish/>
            </w:rPr>
          </w:pPr>
          <w:r w:rsidRPr="00A55A51">
            <w:rPr>
              <w:rFonts w:asciiTheme="minorHAnsi" w:hAnsiTheme="minorHAnsi" w:cstheme="minorHAnsi"/>
            </w:rPr>
            <w:t xml:space="preserve">Contents </w:t>
          </w:r>
        </w:p>
        <w:p w14:paraId="52E1E181" w14:textId="5E6157BC" w:rsidR="00D077C9" w:rsidRPr="00A55A51" w:rsidRDefault="00D077C9" w:rsidP="00D077C9">
          <w:pPr>
            <w:rPr>
              <w:rFonts w:cstheme="minorHAnsi"/>
            </w:rPr>
          </w:pPr>
        </w:p>
        <w:p w14:paraId="5F1C1D46" w14:textId="71E8EF9F" w:rsidR="00F23FF1" w:rsidRDefault="00D077C9">
          <w:pPr>
            <w:pStyle w:val="TOC1"/>
            <w:tabs>
              <w:tab w:val="right" w:leader="dot" w:pos="10070"/>
            </w:tabs>
            <w:rPr>
              <w:b w:val="0"/>
              <w:noProof/>
              <w:kern w:val="2"/>
              <w:sz w:val="24"/>
              <w:szCs w:val="24"/>
              <w14:ligatures w14:val="standardContextual"/>
            </w:rPr>
          </w:pPr>
          <w:r w:rsidRPr="00A55A51">
            <w:rPr>
              <w:rFonts w:cstheme="minorHAnsi"/>
              <w:b w:val="0"/>
              <w:bCs/>
              <w:noProof/>
            </w:rPr>
            <w:fldChar w:fldCharType="begin"/>
          </w:r>
          <w:r w:rsidRPr="00A55A51">
            <w:rPr>
              <w:rFonts w:cstheme="minorHAnsi"/>
              <w:bCs/>
              <w:noProof/>
            </w:rPr>
            <w:instrText xml:space="preserve"> TOC \o "1-3" \h \z \u </w:instrText>
          </w:r>
          <w:r w:rsidRPr="00A55A51">
            <w:rPr>
              <w:rFonts w:cstheme="minorHAnsi"/>
              <w:b w:val="0"/>
              <w:bCs/>
              <w:noProof/>
            </w:rPr>
            <w:fldChar w:fldCharType="separate"/>
          </w:r>
          <w:hyperlink w:anchor="_Toc195126848" w:history="1">
            <w:r w:rsidR="00F23FF1" w:rsidRPr="00EA47C9">
              <w:rPr>
                <w:rStyle w:val="Hyperlink"/>
                <w:rFonts w:cstheme="minorHAnsi"/>
                <w:noProof/>
              </w:rPr>
              <w:t>Abstract</w:t>
            </w:r>
            <w:r w:rsidR="00F23FF1">
              <w:rPr>
                <w:noProof/>
                <w:webHidden/>
              </w:rPr>
              <w:tab/>
            </w:r>
            <w:r w:rsidR="00F23FF1">
              <w:rPr>
                <w:noProof/>
                <w:webHidden/>
              </w:rPr>
              <w:fldChar w:fldCharType="begin"/>
            </w:r>
            <w:r w:rsidR="00F23FF1">
              <w:rPr>
                <w:noProof/>
                <w:webHidden/>
              </w:rPr>
              <w:instrText xml:space="preserve"> PAGEREF _Toc195126848 \h </w:instrText>
            </w:r>
            <w:r w:rsidR="00F23FF1">
              <w:rPr>
                <w:noProof/>
                <w:webHidden/>
              </w:rPr>
            </w:r>
            <w:r w:rsidR="00F23FF1">
              <w:rPr>
                <w:noProof/>
                <w:webHidden/>
              </w:rPr>
              <w:fldChar w:fldCharType="separate"/>
            </w:r>
            <w:r w:rsidR="00F23FF1">
              <w:rPr>
                <w:noProof/>
                <w:webHidden/>
              </w:rPr>
              <w:t>2</w:t>
            </w:r>
            <w:r w:rsidR="00F23FF1">
              <w:rPr>
                <w:noProof/>
                <w:webHidden/>
              </w:rPr>
              <w:fldChar w:fldCharType="end"/>
            </w:r>
          </w:hyperlink>
        </w:p>
        <w:p w14:paraId="549BED01" w14:textId="03F51F43" w:rsidR="00F23FF1" w:rsidRDefault="00F23FF1">
          <w:pPr>
            <w:pStyle w:val="TOC1"/>
            <w:tabs>
              <w:tab w:val="right" w:leader="dot" w:pos="10070"/>
            </w:tabs>
            <w:rPr>
              <w:b w:val="0"/>
              <w:noProof/>
              <w:kern w:val="2"/>
              <w:sz w:val="24"/>
              <w:szCs w:val="24"/>
              <w14:ligatures w14:val="standardContextual"/>
            </w:rPr>
          </w:pPr>
          <w:hyperlink w:anchor="_Toc195126849" w:history="1">
            <w:r w:rsidRPr="00EA47C9">
              <w:rPr>
                <w:rStyle w:val="Hyperlink"/>
                <w:rFonts w:cstheme="minorHAnsi"/>
                <w:noProof/>
              </w:rPr>
              <w:t>Acknowledgement</w:t>
            </w:r>
            <w:r>
              <w:rPr>
                <w:noProof/>
                <w:webHidden/>
              </w:rPr>
              <w:tab/>
            </w:r>
            <w:r>
              <w:rPr>
                <w:noProof/>
                <w:webHidden/>
              </w:rPr>
              <w:fldChar w:fldCharType="begin"/>
            </w:r>
            <w:r>
              <w:rPr>
                <w:noProof/>
                <w:webHidden/>
              </w:rPr>
              <w:instrText xml:space="preserve"> PAGEREF _Toc195126849 \h </w:instrText>
            </w:r>
            <w:r>
              <w:rPr>
                <w:noProof/>
                <w:webHidden/>
              </w:rPr>
            </w:r>
            <w:r>
              <w:rPr>
                <w:noProof/>
                <w:webHidden/>
              </w:rPr>
              <w:fldChar w:fldCharType="separate"/>
            </w:r>
            <w:r>
              <w:rPr>
                <w:noProof/>
                <w:webHidden/>
              </w:rPr>
              <w:t>3</w:t>
            </w:r>
            <w:r>
              <w:rPr>
                <w:noProof/>
                <w:webHidden/>
              </w:rPr>
              <w:fldChar w:fldCharType="end"/>
            </w:r>
          </w:hyperlink>
        </w:p>
        <w:p w14:paraId="7CE032C0" w14:textId="16CCC62F" w:rsidR="00F23FF1" w:rsidRDefault="00F23FF1">
          <w:pPr>
            <w:pStyle w:val="TOC2"/>
            <w:tabs>
              <w:tab w:val="right" w:leader="dot" w:pos="10070"/>
            </w:tabs>
            <w:rPr>
              <w:noProof/>
              <w:kern w:val="2"/>
              <w:sz w:val="24"/>
              <w:szCs w:val="24"/>
              <w14:ligatures w14:val="standardContextual"/>
            </w:rPr>
          </w:pPr>
          <w:hyperlink w:anchor="_Toc195126850" w:history="1">
            <w:r w:rsidRPr="00EA47C9">
              <w:rPr>
                <w:rStyle w:val="Hyperlink"/>
                <w:rFonts w:cstheme="minorHAnsi"/>
                <w:noProof/>
              </w:rPr>
              <w:t>1. Introduction</w:t>
            </w:r>
            <w:r>
              <w:rPr>
                <w:noProof/>
                <w:webHidden/>
              </w:rPr>
              <w:tab/>
            </w:r>
            <w:r>
              <w:rPr>
                <w:noProof/>
                <w:webHidden/>
              </w:rPr>
              <w:fldChar w:fldCharType="begin"/>
            </w:r>
            <w:r>
              <w:rPr>
                <w:noProof/>
                <w:webHidden/>
              </w:rPr>
              <w:instrText xml:space="preserve"> PAGEREF _Toc195126850 \h </w:instrText>
            </w:r>
            <w:r>
              <w:rPr>
                <w:noProof/>
                <w:webHidden/>
              </w:rPr>
            </w:r>
            <w:r>
              <w:rPr>
                <w:noProof/>
                <w:webHidden/>
              </w:rPr>
              <w:fldChar w:fldCharType="separate"/>
            </w:r>
            <w:r>
              <w:rPr>
                <w:noProof/>
                <w:webHidden/>
              </w:rPr>
              <w:t>6</w:t>
            </w:r>
            <w:r>
              <w:rPr>
                <w:noProof/>
                <w:webHidden/>
              </w:rPr>
              <w:fldChar w:fldCharType="end"/>
            </w:r>
          </w:hyperlink>
        </w:p>
        <w:p w14:paraId="4007E576" w14:textId="69EDC4A1" w:rsidR="00F23FF1" w:rsidRDefault="00F23FF1">
          <w:pPr>
            <w:pStyle w:val="TOC2"/>
            <w:tabs>
              <w:tab w:val="right" w:leader="dot" w:pos="10070"/>
            </w:tabs>
            <w:rPr>
              <w:noProof/>
              <w:kern w:val="2"/>
              <w:sz w:val="24"/>
              <w:szCs w:val="24"/>
              <w14:ligatures w14:val="standardContextual"/>
            </w:rPr>
          </w:pPr>
          <w:hyperlink w:anchor="_Toc195126851" w:history="1">
            <w:r w:rsidRPr="00EA47C9">
              <w:rPr>
                <w:rStyle w:val="Hyperlink"/>
                <w:rFonts w:cstheme="minorHAnsi"/>
                <w:noProof/>
              </w:rPr>
              <w:t>2. Methodologies in the literature</w:t>
            </w:r>
            <w:r>
              <w:rPr>
                <w:noProof/>
                <w:webHidden/>
              </w:rPr>
              <w:tab/>
            </w:r>
            <w:r>
              <w:rPr>
                <w:noProof/>
                <w:webHidden/>
              </w:rPr>
              <w:fldChar w:fldCharType="begin"/>
            </w:r>
            <w:r>
              <w:rPr>
                <w:noProof/>
                <w:webHidden/>
              </w:rPr>
              <w:instrText xml:space="preserve"> PAGEREF _Toc195126851 \h </w:instrText>
            </w:r>
            <w:r>
              <w:rPr>
                <w:noProof/>
                <w:webHidden/>
              </w:rPr>
            </w:r>
            <w:r>
              <w:rPr>
                <w:noProof/>
                <w:webHidden/>
              </w:rPr>
              <w:fldChar w:fldCharType="separate"/>
            </w:r>
            <w:r>
              <w:rPr>
                <w:noProof/>
                <w:webHidden/>
              </w:rPr>
              <w:t>7</w:t>
            </w:r>
            <w:r>
              <w:rPr>
                <w:noProof/>
                <w:webHidden/>
              </w:rPr>
              <w:fldChar w:fldCharType="end"/>
            </w:r>
          </w:hyperlink>
        </w:p>
        <w:p w14:paraId="09FAC77F" w14:textId="74A20806" w:rsidR="00F23FF1" w:rsidRDefault="00F23FF1">
          <w:pPr>
            <w:pStyle w:val="TOC2"/>
            <w:tabs>
              <w:tab w:val="right" w:leader="dot" w:pos="10070"/>
            </w:tabs>
            <w:rPr>
              <w:noProof/>
              <w:kern w:val="2"/>
              <w:sz w:val="24"/>
              <w:szCs w:val="24"/>
              <w14:ligatures w14:val="standardContextual"/>
            </w:rPr>
          </w:pPr>
          <w:hyperlink w:anchor="_Toc195126852" w:history="1">
            <w:r w:rsidRPr="00EA47C9">
              <w:rPr>
                <w:rStyle w:val="Hyperlink"/>
                <w:rFonts w:cstheme="minorHAnsi"/>
                <w:noProof/>
              </w:rPr>
              <w:t>6. Conclusions</w:t>
            </w:r>
            <w:r>
              <w:rPr>
                <w:noProof/>
                <w:webHidden/>
              </w:rPr>
              <w:tab/>
            </w:r>
            <w:r>
              <w:rPr>
                <w:noProof/>
                <w:webHidden/>
              </w:rPr>
              <w:fldChar w:fldCharType="begin"/>
            </w:r>
            <w:r>
              <w:rPr>
                <w:noProof/>
                <w:webHidden/>
              </w:rPr>
              <w:instrText xml:space="preserve"> PAGEREF _Toc195126852 \h </w:instrText>
            </w:r>
            <w:r>
              <w:rPr>
                <w:noProof/>
                <w:webHidden/>
              </w:rPr>
            </w:r>
            <w:r>
              <w:rPr>
                <w:noProof/>
                <w:webHidden/>
              </w:rPr>
              <w:fldChar w:fldCharType="separate"/>
            </w:r>
            <w:r>
              <w:rPr>
                <w:noProof/>
                <w:webHidden/>
              </w:rPr>
              <w:t>21</w:t>
            </w:r>
            <w:r>
              <w:rPr>
                <w:noProof/>
                <w:webHidden/>
              </w:rPr>
              <w:fldChar w:fldCharType="end"/>
            </w:r>
          </w:hyperlink>
        </w:p>
        <w:p w14:paraId="74C40EA0" w14:textId="52D3F0B4" w:rsidR="00F23FF1" w:rsidRDefault="00F23FF1">
          <w:pPr>
            <w:pStyle w:val="TOC2"/>
            <w:tabs>
              <w:tab w:val="right" w:leader="dot" w:pos="10070"/>
            </w:tabs>
            <w:rPr>
              <w:noProof/>
              <w:kern w:val="2"/>
              <w:sz w:val="24"/>
              <w:szCs w:val="24"/>
              <w14:ligatures w14:val="standardContextual"/>
            </w:rPr>
          </w:pPr>
          <w:hyperlink w:anchor="_Toc195126853" w:history="1">
            <w:r w:rsidRPr="00EA47C9">
              <w:rPr>
                <w:rStyle w:val="Hyperlink"/>
                <w:rFonts w:cstheme="minorHAnsi"/>
                <w:noProof/>
              </w:rPr>
              <w:t>Appendix</w:t>
            </w:r>
            <w:r>
              <w:rPr>
                <w:noProof/>
                <w:webHidden/>
              </w:rPr>
              <w:tab/>
            </w:r>
            <w:r>
              <w:rPr>
                <w:noProof/>
                <w:webHidden/>
              </w:rPr>
              <w:fldChar w:fldCharType="begin"/>
            </w:r>
            <w:r>
              <w:rPr>
                <w:noProof/>
                <w:webHidden/>
              </w:rPr>
              <w:instrText xml:space="preserve"> PAGEREF _Toc195126853 \h </w:instrText>
            </w:r>
            <w:r>
              <w:rPr>
                <w:noProof/>
                <w:webHidden/>
              </w:rPr>
            </w:r>
            <w:r>
              <w:rPr>
                <w:noProof/>
                <w:webHidden/>
              </w:rPr>
              <w:fldChar w:fldCharType="separate"/>
            </w:r>
            <w:r>
              <w:rPr>
                <w:noProof/>
                <w:webHidden/>
              </w:rPr>
              <w:t>23</w:t>
            </w:r>
            <w:r>
              <w:rPr>
                <w:noProof/>
                <w:webHidden/>
              </w:rPr>
              <w:fldChar w:fldCharType="end"/>
            </w:r>
          </w:hyperlink>
        </w:p>
        <w:p w14:paraId="207218DF" w14:textId="450D129A" w:rsidR="00F23FF1" w:rsidRDefault="00F23FF1">
          <w:pPr>
            <w:pStyle w:val="TOC2"/>
            <w:tabs>
              <w:tab w:val="right" w:leader="dot" w:pos="10070"/>
            </w:tabs>
            <w:rPr>
              <w:noProof/>
              <w:kern w:val="2"/>
              <w:sz w:val="24"/>
              <w:szCs w:val="24"/>
              <w14:ligatures w14:val="standardContextual"/>
            </w:rPr>
          </w:pPr>
          <w:hyperlink w:anchor="_Toc195126854" w:history="1">
            <w:r w:rsidRPr="00EA47C9">
              <w:rPr>
                <w:rStyle w:val="Hyperlink"/>
                <w:rFonts w:cstheme="minorHAnsi"/>
                <w:noProof/>
              </w:rPr>
              <w:t>Building an AgIncentives Release</w:t>
            </w:r>
            <w:r>
              <w:rPr>
                <w:noProof/>
                <w:webHidden/>
              </w:rPr>
              <w:tab/>
            </w:r>
            <w:r>
              <w:rPr>
                <w:noProof/>
                <w:webHidden/>
              </w:rPr>
              <w:fldChar w:fldCharType="begin"/>
            </w:r>
            <w:r>
              <w:rPr>
                <w:noProof/>
                <w:webHidden/>
              </w:rPr>
              <w:instrText xml:space="preserve"> PAGEREF _Toc195126854 \h </w:instrText>
            </w:r>
            <w:r>
              <w:rPr>
                <w:noProof/>
                <w:webHidden/>
              </w:rPr>
            </w:r>
            <w:r>
              <w:rPr>
                <w:noProof/>
                <w:webHidden/>
              </w:rPr>
              <w:fldChar w:fldCharType="separate"/>
            </w:r>
            <w:r>
              <w:rPr>
                <w:noProof/>
                <w:webHidden/>
              </w:rPr>
              <w:t>23</w:t>
            </w:r>
            <w:r>
              <w:rPr>
                <w:noProof/>
                <w:webHidden/>
              </w:rPr>
              <w:fldChar w:fldCharType="end"/>
            </w:r>
          </w:hyperlink>
        </w:p>
        <w:p w14:paraId="5430E985" w14:textId="63123690" w:rsidR="00F23FF1" w:rsidRDefault="00F23FF1">
          <w:pPr>
            <w:pStyle w:val="TOC2"/>
            <w:tabs>
              <w:tab w:val="right" w:leader="dot" w:pos="10070"/>
            </w:tabs>
            <w:rPr>
              <w:noProof/>
              <w:kern w:val="2"/>
              <w:sz w:val="24"/>
              <w:szCs w:val="24"/>
              <w14:ligatures w14:val="standardContextual"/>
            </w:rPr>
          </w:pPr>
          <w:hyperlink w:anchor="_Toc195126855" w:history="1">
            <w:r w:rsidRPr="00EA47C9">
              <w:rPr>
                <w:rStyle w:val="Hyperlink"/>
                <w:rFonts w:cstheme="minorHAnsi"/>
                <w:noProof/>
              </w:rPr>
              <w:t>1 Review and processing of source data received from Consortium Members.</w:t>
            </w:r>
            <w:r>
              <w:rPr>
                <w:noProof/>
                <w:webHidden/>
              </w:rPr>
              <w:tab/>
            </w:r>
            <w:r>
              <w:rPr>
                <w:noProof/>
                <w:webHidden/>
              </w:rPr>
              <w:fldChar w:fldCharType="begin"/>
            </w:r>
            <w:r>
              <w:rPr>
                <w:noProof/>
                <w:webHidden/>
              </w:rPr>
              <w:instrText xml:space="preserve"> PAGEREF _Toc195126855 \h </w:instrText>
            </w:r>
            <w:r>
              <w:rPr>
                <w:noProof/>
                <w:webHidden/>
              </w:rPr>
            </w:r>
            <w:r>
              <w:rPr>
                <w:noProof/>
                <w:webHidden/>
              </w:rPr>
              <w:fldChar w:fldCharType="separate"/>
            </w:r>
            <w:r>
              <w:rPr>
                <w:noProof/>
                <w:webHidden/>
              </w:rPr>
              <w:t>23</w:t>
            </w:r>
            <w:r>
              <w:rPr>
                <w:noProof/>
                <w:webHidden/>
              </w:rPr>
              <w:fldChar w:fldCharType="end"/>
            </w:r>
          </w:hyperlink>
        </w:p>
        <w:p w14:paraId="737B6A3B" w14:textId="6200A4D2" w:rsidR="00F23FF1" w:rsidRDefault="00F23FF1">
          <w:pPr>
            <w:pStyle w:val="TOC2"/>
            <w:tabs>
              <w:tab w:val="right" w:leader="dot" w:pos="10070"/>
            </w:tabs>
            <w:rPr>
              <w:noProof/>
              <w:kern w:val="2"/>
              <w:sz w:val="24"/>
              <w:szCs w:val="24"/>
              <w14:ligatures w14:val="standardContextual"/>
            </w:rPr>
          </w:pPr>
          <w:hyperlink w:anchor="_Toc195126856" w:history="1">
            <w:r w:rsidRPr="00EA47C9">
              <w:rPr>
                <w:rStyle w:val="Hyperlink"/>
                <w:rFonts w:cstheme="minorHAnsi"/>
                <w:noProof/>
              </w:rPr>
              <w:t>2 Work on consolidating the database in R, aggregation and producing indicators</w:t>
            </w:r>
            <w:r>
              <w:rPr>
                <w:noProof/>
                <w:webHidden/>
              </w:rPr>
              <w:tab/>
            </w:r>
            <w:r>
              <w:rPr>
                <w:noProof/>
                <w:webHidden/>
              </w:rPr>
              <w:fldChar w:fldCharType="begin"/>
            </w:r>
            <w:r>
              <w:rPr>
                <w:noProof/>
                <w:webHidden/>
              </w:rPr>
              <w:instrText xml:space="preserve"> PAGEREF _Toc195126856 \h </w:instrText>
            </w:r>
            <w:r>
              <w:rPr>
                <w:noProof/>
                <w:webHidden/>
              </w:rPr>
            </w:r>
            <w:r>
              <w:rPr>
                <w:noProof/>
                <w:webHidden/>
              </w:rPr>
              <w:fldChar w:fldCharType="separate"/>
            </w:r>
            <w:r>
              <w:rPr>
                <w:noProof/>
                <w:webHidden/>
              </w:rPr>
              <w:t>23</w:t>
            </w:r>
            <w:r>
              <w:rPr>
                <w:noProof/>
                <w:webHidden/>
              </w:rPr>
              <w:fldChar w:fldCharType="end"/>
            </w:r>
          </w:hyperlink>
        </w:p>
        <w:p w14:paraId="60A74E3F" w14:textId="38171064" w:rsidR="00F23FF1" w:rsidRDefault="00F23FF1">
          <w:pPr>
            <w:pStyle w:val="TOC2"/>
            <w:tabs>
              <w:tab w:val="right" w:leader="dot" w:pos="10070"/>
            </w:tabs>
            <w:rPr>
              <w:noProof/>
              <w:kern w:val="2"/>
              <w:sz w:val="24"/>
              <w:szCs w:val="24"/>
              <w14:ligatures w14:val="standardContextual"/>
            </w:rPr>
          </w:pPr>
          <w:hyperlink w:anchor="_Toc195126857" w:history="1">
            <w:r w:rsidRPr="00EA47C9">
              <w:rPr>
                <w:rStyle w:val="Hyperlink"/>
                <w:rFonts w:cstheme="minorHAnsi"/>
                <w:noProof/>
              </w:rPr>
              <w:t>3 Review of NRA/NRP indicators and quality control, internally and by IOs</w:t>
            </w:r>
            <w:r>
              <w:rPr>
                <w:noProof/>
                <w:webHidden/>
              </w:rPr>
              <w:tab/>
            </w:r>
            <w:r>
              <w:rPr>
                <w:noProof/>
                <w:webHidden/>
              </w:rPr>
              <w:fldChar w:fldCharType="begin"/>
            </w:r>
            <w:r>
              <w:rPr>
                <w:noProof/>
                <w:webHidden/>
              </w:rPr>
              <w:instrText xml:space="preserve"> PAGEREF _Toc195126857 \h </w:instrText>
            </w:r>
            <w:r>
              <w:rPr>
                <w:noProof/>
                <w:webHidden/>
              </w:rPr>
            </w:r>
            <w:r>
              <w:rPr>
                <w:noProof/>
                <w:webHidden/>
              </w:rPr>
              <w:fldChar w:fldCharType="separate"/>
            </w:r>
            <w:r>
              <w:rPr>
                <w:noProof/>
                <w:webHidden/>
              </w:rPr>
              <w:t>23</w:t>
            </w:r>
            <w:r>
              <w:rPr>
                <w:noProof/>
                <w:webHidden/>
              </w:rPr>
              <w:fldChar w:fldCharType="end"/>
            </w:r>
          </w:hyperlink>
        </w:p>
        <w:p w14:paraId="0D71A79F" w14:textId="490F9F8F" w:rsidR="00F23FF1" w:rsidRDefault="00F23FF1">
          <w:pPr>
            <w:pStyle w:val="TOC2"/>
            <w:tabs>
              <w:tab w:val="right" w:leader="dot" w:pos="10070"/>
            </w:tabs>
            <w:rPr>
              <w:noProof/>
              <w:kern w:val="2"/>
              <w:sz w:val="24"/>
              <w:szCs w:val="24"/>
              <w14:ligatures w14:val="standardContextual"/>
            </w:rPr>
          </w:pPr>
          <w:hyperlink w:anchor="_Toc195126858" w:history="1">
            <w:r w:rsidRPr="00EA47C9">
              <w:rPr>
                <w:rStyle w:val="Hyperlink"/>
                <w:rFonts w:cstheme="minorHAnsi"/>
                <w:noProof/>
              </w:rPr>
              <w:t>4 Visualization in Tableau/R-Shiny</w:t>
            </w:r>
            <w:r>
              <w:rPr>
                <w:noProof/>
                <w:webHidden/>
              </w:rPr>
              <w:tab/>
            </w:r>
            <w:r>
              <w:rPr>
                <w:noProof/>
                <w:webHidden/>
              </w:rPr>
              <w:fldChar w:fldCharType="begin"/>
            </w:r>
            <w:r>
              <w:rPr>
                <w:noProof/>
                <w:webHidden/>
              </w:rPr>
              <w:instrText xml:space="preserve"> PAGEREF _Toc195126858 \h </w:instrText>
            </w:r>
            <w:r>
              <w:rPr>
                <w:noProof/>
                <w:webHidden/>
              </w:rPr>
            </w:r>
            <w:r>
              <w:rPr>
                <w:noProof/>
                <w:webHidden/>
              </w:rPr>
              <w:fldChar w:fldCharType="separate"/>
            </w:r>
            <w:r>
              <w:rPr>
                <w:noProof/>
                <w:webHidden/>
              </w:rPr>
              <w:t>24</w:t>
            </w:r>
            <w:r>
              <w:rPr>
                <w:noProof/>
                <w:webHidden/>
              </w:rPr>
              <w:fldChar w:fldCharType="end"/>
            </w:r>
          </w:hyperlink>
        </w:p>
        <w:p w14:paraId="5C384558" w14:textId="4A7A562F" w:rsidR="00F23FF1" w:rsidRDefault="00F23FF1">
          <w:pPr>
            <w:pStyle w:val="TOC2"/>
            <w:tabs>
              <w:tab w:val="right" w:leader="dot" w:pos="10070"/>
            </w:tabs>
            <w:rPr>
              <w:noProof/>
              <w:kern w:val="2"/>
              <w:sz w:val="24"/>
              <w:szCs w:val="24"/>
              <w14:ligatures w14:val="standardContextual"/>
            </w:rPr>
          </w:pPr>
          <w:hyperlink w:anchor="_Toc195126859" w:history="1">
            <w:r w:rsidRPr="00EA47C9">
              <w:rPr>
                <w:rStyle w:val="Hyperlink"/>
                <w:noProof/>
              </w:rPr>
              <w:t>5 Release of database in the Ag-Incentives website</w:t>
            </w:r>
            <w:r>
              <w:rPr>
                <w:noProof/>
                <w:webHidden/>
              </w:rPr>
              <w:tab/>
            </w:r>
            <w:r>
              <w:rPr>
                <w:noProof/>
                <w:webHidden/>
              </w:rPr>
              <w:fldChar w:fldCharType="begin"/>
            </w:r>
            <w:r>
              <w:rPr>
                <w:noProof/>
                <w:webHidden/>
              </w:rPr>
              <w:instrText xml:space="preserve"> PAGEREF _Toc195126859 \h </w:instrText>
            </w:r>
            <w:r>
              <w:rPr>
                <w:noProof/>
                <w:webHidden/>
              </w:rPr>
            </w:r>
            <w:r>
              <w:rPr>
                <w:noProof/>
                <w:webHidden/>
              </w:rPr>
              <w:fldChar w:fldCharType="separate"/>
            </w:r>
            <w:r>
              <w:rPr>
                <w:noProof/>
                <w:webHidden/>
              </w:rPr>
              <w:t>24</w:t>
            </w:r>
            <w:r>
              <w:rPr>
                <w:noProof/>
                <w:webHidden/>
              </w:rPr>
              <w:fldChar w:fldCharType="end"/>
            </w:r>
          </w:hyperlink>
        </w:p>
        <w:p w14:paraId="75C91EDA" w14:textId="3B743C08" w:rsidR="00F23FF1" w:rsidRDefault="00F23FF1">
          <w:pPr>
            <w:pStyle w:val="TOC1"/>
            <w:tabs>
              <w:tab w:val="right" w:leader="dot" w:pos="10070"/>
            </w:tabs>
            <w:rPr>
              <w:b w:val="0"/>
              <w:noProof/>
              <w:kern w:val="2"/>
              <w:sz w:val="24"/>
              <w:szCs w:val="24"/>
              <w14:ligatures w14:val="standardContextual"/>
            </w:rPr>
          </w:pPr>
          <w:hyperlink w:anchor="_Toc195126860" w:history="1">
            <w:r w:rsidRPr="00EA47C9">
              <w:rPr>
                <w:rStyle w:val="Hyperlink"/>
                <w:rFonts w:cstheme="minorHAnsi"/>
                <w:noProof/>
              </w:rPr>
              <w:t>References</w:t>
            </w:r>
            <w:r>
              <w:rPr>
                <w:noProof/>
                <w:webHidden/>
              </w:rPr>
              <w:tab/>
            </w:r>
            <w:r>
              <w:rPr>
                <w:noProof/>
                <w:webHidden/>
              </w:rPr>
              <w:fldChar w:fldCharType="begin"/>
            </w:r>
            <w:r>
              <w:rPr>
                <w:noProof/>
                <w:webHidden/>
              </w:rPr>
              <w:instrText xml:space="preserve"> PAGEREF _Toc195126860 \h </w:instrText>
            </w:r>
            <w:r>
              <w:rPr>
                <w:noProof/>
                <w:webHidden/>
              </w:rPr>
            </w:r>
            <w:r>
              <w:rPr>
                <w:noProof/>
                <w:webHidden/>
              </w:rPr>
              <w:fldChar w:fldCharType="separate"/>
            </w:r>
            <w:r>
              <w:rPr>
                <w:noProof/>
                <w:webHidden/>
              </w:rPr>
              <w:t>25</w:t>
            </w:r>
            <w:r>
              <w:rPr>
                <w:noProof/>
                <w:webHidden/>
              </w:rPr>
              <w:fldChar w:fldCharType="end"/>
            </w:r>
          </w:hyperlink>
        </w:p>
        <w:p w14:paraId="2584E68B" w14:textId="3FB181E3" w:rsidR="00D077C9" w:rsidRPr="00A55A51" w:rsidRDefault="00D077C9" w:rsidP="00D077C9">
          <w:pPr>
            <w:pStyle w:val="TOC1"/>
            <w:rPr>
              <w:rFonts w:cstheme="minorHAnsi"/>
            </w:rPr>
          </w:pPr>
          <w:r w:rsidRPr="00A55A51">
            <w:rPr>
              <w:rFonts w:cstheme="minorHAnsi"/>
              <w:b w:val="0"/>
              <w:bCs/>
              <w:noProof/>
            </w:rPr>
            <w:fldChar w:fldCharType="end"/>
          </w:r>
        </w:p>
      </w:sdtContent>
    </w:sdt>
    <w:p w14:paraId="768D2F08" w14:textId="77777777" w:rsidR="00D077C9" w:rsidRPr="00A55A51" w:rsidRDefault="00D077C9" w:rsidP="00BC1318">
      <w:pPr>
        <w:pStyle w:val="TOCHeading"/>
        <w:rPr>
          <w:rFonts w:asciiTheme="minorHAnsi" w:hAnsiTheme="minorHAnsi" w:cstheme="minorHAnsi"/>
        </w:rPr>
      </w:pPr>
      <w:r w:rsidRPr="00A55A51">
        <w:rPr>
          <w:rFonts w:asciiTheme="minorHAnsi" w:hAnsiTheme="minorHAnsi" w:cstheme="minorHAnsi"/>
        </w:rPr>
        <w:t>Tables</w:t>
      </w:r>
    </w:p>
    <w:p w14:paraId="61C3C7A2" w14:textId="3079B011" w:rsidR="00D620F3" w:rsidRDefault="008743B1">
      <w:pPr>
        <w:pStyle w:val="TableofFigures"/>
        <w:tabs>
          <w:tab w:val="right" w:leader="dot" w:pos="10070"/>
        </w:tabs>
        <w:rPr>
          <w:b w:val="0"/>
          <w:noProof/>
          <w:kern w:val="2"/>
          <w:sz w:val="24"/>
          <w:szCs w:val="24"/>
          <w14:ligatures w14:val="standardContextual"/>
        </w:rPr>
      </w:pPr>
      <w:r w:rsidRPr="00A55A51">
        <w:rPr>
          <w:rFonts w:cstheme="minorHAnsi"/>
        </w:rPr>
        <w:fldChar w:fldCharType="begin"/>
      </w:r>
      <w:r w:rsidRPr="00A55A51">
        <w:rPr>
          <w:rFonts w:cstheme="minorHAnsi"/>
        </w:rPr>
        <w:instrText xml:space="preserve"> TOC \h \z \c "Table" </w:instrText>
      </w:r>
      <w:r w:rsidRPr="00A55A51">
        <w:rPr>
          <w:rFonts w:cstheme="minorHAnsi"/>
        </w:rPr>
        <w:fldChar w:fldCharType="separate"/>
      </w:r>
      <w:hyperlink w:anchor="_Toc195128496" w:history="1">
        <w:r w:rsidR="00D620F3" w:rsidRPr="00435911">
          <w:rPr>
            <w:rStyle w:val="Hyperlink"/>
            <w:noProof/>
          </w:rPr>
          <w:t>Table 1:</w:t>
        </w:r>
        <w:r w:rsidR="00D620F3" w:rsidRPr="00435911">
          <w:rPr>
            <w:rStyle w:val="Hyperlink"/>
            <w:rFonts w:cstheme="minorHAnsi"/>
            <w:noProof/>
          </w:rPr>
          <w:t xml:space="preserve"> Country and commodity coverage by IOs</w:t>
        </w:r>
        <w:r w:rsidR="00D620F3">
          <w:rPr>
            <w:noProof/>
            <w:webHidden/>
          </w:rPr>
          <w:tab/>
        </w:r>
        <w:r w:rsidR="00D620F3">
          <w:rPr>
            <w:noProof/>
            <w:webHidden/>
          </w:rPr>
          <w:fldChar w:fldCharType="begin"/>
        </w:r>
        <w:r w:rsidR="00D620F3">
          <w:rPr>
            <w:noProof/>
            <w:webHidden/>
          </w:rPr>
          <w:instrText xml:space="preserve"> PAGEREF _Toc195128496 \h </w:instrText>
        </w:r>
        <w:r w:rsidR="00D620F3">
          <w:rPr>
            <w:noProof/>
            <w:webHidden/>
          </w:rPr>
        </w:r>
        <w:r w:rsidR="00D620F3">
          <w:rPr>
            <w:noProof/>
            <w:webHidden/>
          </w:rPr>
          <w:fldChar w:fldCharType="separate"/>
        </w:r>
        <w:r w:rsidR="00D620F3">
          <w:rPr>
            <w:noProof/>
            <w:webHidden/>
          </w:rPr>
          <w:t>10</w:t>
        </w:r>
        <w:r w:rsidR="00D620F3">
          <w:rPr>
            <w:noProof/>
            <w:webHidden/>
          </w:rPr>
          <w:fldChar w:fldCharType="end"/>
        </w:r>
      </w:hyperlink>
    </w:p>
    <w:p w14:paraId="2ECE6AB8" w14:textId="16ABDEF8" w:rsidR="00D620F3" w:rsidRDefault="00D620F3">
      <w:pPr>
        <w:pStyle w:val="TableofFigures"/>
        <w:tabs>
          <w:tab w:val="right" w:leader="dot" w:pos="10070"/>
        </w:tabs>
        <w:rPr>
          <w:b w:val="0"/>
          <w:noProof/>
          <w:kern w:val="2"/>
          <w:sz w:val="24"/>
          <w:szCs w:val="24"/>
          <w14:ligatures w14:val="standardContextual"/>
        </w:rPr>
      </w:pPr>
      <w:hyperlink w:anchor="_Toc195128497" w:history="1">
        <w:r w:rsidRPr="00435911">
          <w:rPr>
            <w:rStyle w:val="Hyperlink"/>
            <w:noProof/>
          </w:rPr>
          <w:t>Table 2</w:t>
        </w:r>
        <w:r w:rsidRPr="00435911">
          <w:rPr>
            <w:rStyle w:val="Hyperlink"/>
            <w:rFonts w:cstheme="minorHAnsi"/>
            <w:noProof/>
          </w:rPr>
          <w:t>: General classification of payment categories and NRA indicators</w:t>
        </w:r>
        <w:r>
          <w:rPr>
            <w:noProof/>
            <w:webHidden/>
          </w:rPr>
          <w:tab/>
        </w:r>
        <w:r>
          <w:rPr>
            <w:noProof/>
            <w:webHidden/>
          </w:rPr>
          <w:fldChar w:fldCharType="begin"/>
        </w:r>
        <w:r>
          <w:rPr>
            <w:noProof/>
            <w:webHidden/>
          </w:rPr>
          <w:instrText xml:space="preserve"> PAGEREF _Toc195128497 \h </w:instrText>
        </w:r>
        <w:r>
          <w:rPr>
            <w:noProof/>
            <w:webHidden/>
          </w:rPr>
        </w:r>
        <w:r>
          <w:rPr>
            <w:noProof/>
            <w:webHidden/>
          </w:rPr>
          <w:fldChar w:fldCharType="separate"/>
        </w:r>
        <w:r>
          <w:rPr>
            <w:noProof/>
            <w:webHidden/>
          </w:rPr>
          <w:t>14</w:t>
        </w:r>
        <w:r>
          <w:rPr>
            <w:noProof/>
            <w:webHidden/>
          </w:rPr>
          <w:fldChar w:fldCharType="end"/>
        </w:r>
      </w:hyperlink>
    </w:p>
    <w:p w14:paraId="3FE0D8A7" w14:textId="58E64C04" w:rsidR="00D620F3" w:rsidRDefault="00D620F3">
      <w:pPr>
        <w:pStyle w:val="TableofFigures"/>
        <w:tabs>
          <w:tab w:val="right" w:leader="dot" w:pos="10070"/>
        </w:tabs>
        <w:rPr>
          <w:b w:val="0"/>
          <w:noProof/>
          <w:kern w:val="2"/>
          <w:sz w:val="24"/>
          <w:szCs w:val="24"/>
          <w14:ligatures w14:val="standardContextual"/>
        </w:rPr>
      </w:pPr>
      <w:hyperlink w:anchor="_Toc195128498" w:history="1">
        <w:r w:rsidRPr="00435911">
          <w:rPr>
            <w:rStyle w:val="Hyperlink"/>
            <w:noProof/>
          </w:rPr>
          <w:t>Table 3</w:t>
        </w:r>
        <w:r w:rsidRPr="00435911">
          <w:rPr>
            <w:rStyle w:val="Hyperlink"/>
            <w:rFonts w:cstheme="minorHAnsi"/>
            <w:noProof/>
          </w:rPr>
          <w:t xml:space="preserve">: </w:t>
        </w:r>
        <w:r w:rsidRPr="00435911">
          <w:rPr>
            <w:rStyle w:val="Hyperlink"/>
            <w:rFonts w:cstheme="minorHAnsi"/>
            <w:bCs/>
            <w:noProof/>
          </w:rPr>
          <w:t>Global NRPs by Commodity (%)</w:t>
        </w:r>
        <w:r>
          <w:rPr>
            <w:noProof/>
            <w:webHidden/>
          </w:rPr>
          <w:tab/>
        </w:r>
        <w:r>
          <w:rPr>
            <w:noProof/>
            <w:webHidden/>
          </w:rPr>
          <w:fldChar w:fldCharType="begin"/>
        </w:r>
        <w:r>
          <w:rPr>
            <w:noProof/>
            <w:webHidden/>
          </w:rPr>
          <w:instrText xml:space="preserve"> PAGEREF _Toc195128498 \h </w:instrText>
        </w:r>
        <w:r>
          <w:rPr>
            <w:noProof/>
            <w:webHidden/>
          </w:rPr>
        </w:r>
        <w:r>
          <w:rPr>
            <w:noProof/>
            <w:webHidden/>
          </w:rPr>
          <w:fldChar w:fldCharType="separate"/>
        </w:r>
        <w:r>
          <w:rPr>
            <w:noProof/>
            <w:webHidden/>
          </w:rPr>
          <w:t>17</w:t>
        </w:r>
        <w:r>
          <w:rPr>
            <w:noProof/>
            <w:webHidden/>
          </w:rPr>
          <w:fldChar w:fldCharType="end"/>
        </w:r>
      </w:hyperlink>
    </w:p>
    <w:p w14:paraId="6C9BFEEA" w14:textId="2FE46745" w:rsidR="008743B1" w:rsidRPr="00A55A51" w:rsidRDefault="008743B1" w:rsidP="00D077C9">
      <w:pPr>
        <w:rPr>
          <w:rFonts w:cstheme="minorHAnsi"/>
        </w:rPr>
      </w:pPr>
      <w:r w:rsidRPr="00A55A51">
        <w:rPr>
          <w:rFonts w:cstheme="minorHAnsi"/>
        </w:rPr>
        <w:fldChar w:fldCharType="end"/>
      </w:r>
    </w:p>
    <w:p w14:paraId="378F4D18" w14:textId="77777777" w:rsidR="00D077C9" w:rsidRPr="00A55A51" w:rsidRDefault="00D077C9" w:rsidP="00D077C9">
      <w:pPr>
        <w:pStyle w:val="TOCHeading"/>
        <w:rPr>
          <w:rFonts w:asciiTheme="minorHAnsi" w:hAnsiTheme="minorHAnsi" w:cstheme="minorHAnsi"/>
        </w:rPr>
      </w:pPr>
      <w:r w:rsidRPr="00A55A51">
        <w:rPr>
          <w:rFonts w:asciiTheme="minorHAnsi" w:hAnsiTheme="minorHAnsi" w:cstheme="minorHAnsi"/>
        </w:rPr>
        <w:t>Figures</w:t>
      </w:r>
    </w:p>
    <w:p w14:paraId="4C517A1E" w14:textId="44AC5F8B" w:rsidR="00F23FF1" w:rsidRDefault="004D7B20">
      <w:pPr>
        <w:pStyle w:val="TableofFigures"/>
        <w:tabs>
          <w:tab w:val="right" w:leader="dot" w:pos="10070"/>
        </w:tabs>
        <w:rPr>
          <w:b w:val="0"/>
          <w:noProof/>
          <w:kern w:val="2"/>
          <w:sz w:val="24"/>
          <w:szCs w:val="24"/>
          <w14:ligatures w14:val="standardContextual"/>
        </w:rPr>
      </w:pPr>
      <w:r w:rsidRPr="00A55A51">
        <w:rPr>
          <w:rFonts w:cstheme="minorHAnsi"/>
        </w:rPr>
        <w:fldChar w:fldCharType="begin"/>
      </w:r>
      <w:r w:rsidRPr="00A55A51">
        <w:rPr>
          <w:rFonts w:cstheme="minorHAnsi"/>
        </w:rPr>
        <w:instrText xml:space="preserve"> TOC \h \z \c "Figure" </w:instrText>
      </w:r>
      <w:r w:rsidRPr="00A55A51">
        <w:rPr>
          <w:rFonts w:cstheme="minorHAnsi"/>
        </w:rPr>
        <w:fldChar w:fldCharType="separate"/>
      </w:r>
      <w:hyperlink w:anchor="_Toc195126825" w:history="1">
        <w:r w:rsidR="00F23FF1" w:rsidRPr="00083C05">
          <w:rPr>
            <w:rStyle w:val="Hyperlink"/>
            <w:noProof/>
          </w:rPr>
          <w:t>Figure 1</w:t>
        </w:r>
        <w:r w:rsidR="00F23FF1" w:rsidRPr="00083C05">
          <w:rPr>
            <w:rStyle w:val="Hyperlink"/>
            <w:rFonts w:cstheme="minorHAnsi"/>
            <w:noProof/>
          </w:rPr>
          <w:t xml:space="preserve">: </w:t>
        </w:r>
        <w:r w:rsidR="00F23FF1" w:rsidRPr="00083C05">
          <w:rPr>
            <w:rStyle w:val="Hyperlink"/>
            <w:rFonts w:cstheme="minorHAnsi"/>
            <w:bCs/>
            <w:noProof/>
          </w:rPr>
          <w:t>Harmonized data template process</w:t>
        </w:r>
        <w:r w:rsidR="00F23FF1">
          <w:rPr>
            <w:noProof/>
            <w:webHidden/>
          </w:rPr>
          <w:tab/>
        </w:r>
        <w:r w:rsidR="00F23FF1">
          <w:rPr>
            <w:noProof/>
            <w:webHidden/>
          </w:rPr>
          <w:fldChar w:fldCharType="begin"/>
        </w:r>
        <w:r w:rsidR="00F23FF1">
          <w:rPr>
            <w:noProof/>
            <w:webHidden/>
          </w:rPr>
          <w:instrText xml:space="preserve"> PAGEREF _Toc195126825 \h </w:instrText>
        </w:r>
        <w:r w:rsidR="00F23FF1">
          <w:rPr>
            <w:noProof/>
            <w:webHidden/>
          </w:rPr>
        </w:r>
        <w:r w:rsidR="00F23FF1">
          <w:rPr>
            <w:noProof/>
            <w:webHidden/>
          </w:rPr>
          <w:fldChar w:fldCharType="separate"/>
        </w:r>
        <w:r w:rsidR="005D75A7">
          <w:rPr>
            <w:noProof/>
            <w:webHidden/>
          </w:rPr>
          <w:t>11</w:t>
        </w:r>
        <w:r w:rsidR="00F23FF1">
          <w:rPr>
            <w:noProof/>
            <w:webHidden/>
          </w:rPr>
          <w:fldChar w:fldCharType="end"/>
        </w:r>
      </w:hyperlink>
    </w:p>
    <w:p w14:paraId="6CC6A291" w14:textId="029B3953" w:rsidR="00F23FF1" w:rsidRDefault="00F23FF1">
      <w:pPr>
        <w:pStyle w:val="TableofFigures"/>
        <w:tabs>
          <w:tab w:val="right" w:leader="dot" w:pos="10070"/>
        </w:tabs>
        <w:rPr>
          <w:b w:val="0"/>
          <w:noProof/>
          <w:kern w:val="2"/>
          <w:sz w:val="24"/>
          <w:szCs w:val="24"/>
          <w14:ligatures w14:val="standardContextual"/>
        </w:rPr>
      </w:pPr>
      <w:hyperlink w:anchor="_Toc195126826" w:history="1">
        <w:r w:rsidRPr="00083C05">
          <w:rPr>
            <w:rStyle w:val="Hyperlink"/>
            <w:noProof/>
          </w:rPr>
          <w:t>Figure 2</w:t>
        </w:r>
        <w:r w:rsidRPr="00083C05">
          <w:rPr>
            <w:rStyle w:val="Hyperlink"/>
            <w:rFonts w:cstheme="minorHAnsi"/>
            <w:noProof/>
          </w:rPr>
          <w:t xml:space="preserve">: </w:t>
        </w:r>
        <w:r w:rsidRPr="00083C05">
          <w:rPr>
            <w:rStyle w:val="Hyperlink"/>
            <w:rFonts w:cstheme="minorHAnsi"/>
            <w:bCs/>
            <w:noProof/>
          </w:rPr>
          <w:t>Price Transmission along a Value Chain</w:t>
        </w:r>
        <w:r>
          <w:rPr>
            <w:noProof/>
            <w:webHidden/>
          </w:rPr>
          <w:tab/>
        </w:r>
        <w:r>
          <w:rPr>
            <w:noProof/>
            <w:webHidden/>
          </w:rPr>
          <w:fldChar w:fldCharType="begin"/>
        </w:r>
        <w:r>
          <w:rPr>
            <w:noProof/>
            <w:webHidden/>
          </w:rPr>
          <w:instrText xml:space="preserve"> PAGEREF _Toc195126826 \h </w:instrText>
        </w:r>
        <w:r>
          <w:rPr>
            <w:noProof/>
            <w:webHidden/>
          </w:rPr>
        </w:r>
        <w:r>
          <w:rPr>
            <w:noProof/>
            <w:webHidden/>
          </w:rPr>
          <w:fldChar w:fldCharType="separate"/>
        </w:r>
        <w:r w:rsidR="005D75A7">
          <w:rPr>
            <w:noProof/>
            <w:webHidden/>
          </w:rPr>
          <w:t>12</w:t>
        </w:r>
        <w:r>
          <w:rPr>
            <w:noProof/>
            <w:webHidden/>
          </w:rPr>
          <w:fldChar w:fldCharType="end"/>
        </w:r>
      </w:hyperlink>
    </w:p>
    <w:p w14:paraId="1B57946E" w14:textId="5CE8AD94" w:rsidR="00F23FF1" w:rsidRDefault="00F23FF1">
      <w:pPr>
        <w:pStyle w:val="TableofFigures"/>
        <w:tabs>
          <w:tab w:val="right" w:leader="dot" w:pos="10070"/>
        </w:tabs>
        <w:rPr>
          <w:b w:val="0"/>
          <w:noProof/>
          <w:kern w:val="2"/>
          <w:sz w:val="24"/>
          <w:szCs w:val="24"/>
          <w14:ligatures w14:val="standardContextual"/>
        </w:rPr>
      </w:pPr>
      <w:hyperlink w:anchor="_Toc195126827" w:history="1">
        <w:r w:rsidRPr="00083C05">
          <w:rPr>
            <w:rStyle w:val="Hyperlink"/>
            <w:noProof/>
          </w:rPr>
          <w:t>Figure 3</w:t>
        </w:r>
        <w:r w:rsidRPr="00083C05">
          <w:rPr>
            <w:rStyle w:val="Hyperlink"/>
            <w:rFonts w:cstheme="minorHAnsi"/>
            <w:noProof/>
          </w:rPr>
          <w:t xml:space="preserve">: </w:t>
        </w:r>
        <w:r w:rsidRPr="00083C05">
          <w:rPr>
            <w:rStyle w:val="Hyperlink"/>
            <w:rFonts w:cstheme="minorHAnsi"/>
            <w:bCs/>
            <w:noProof/>
          </w:rPr>
          <w:t>Average NRPs for agriculture and the FAO Food Price Index</w:t>
        </w:r>
        <w:r>
          <w:rPr>
            <w:noProof/>
            <w:webHidden/>
          </w:rPr>
          <w:tab/>
        </w:r>
        <w:r>
          <w:rPr>
            <w:noProof/>
            <w:webHidden/>
          </w:rPr>
          <w:fldChar w:fldCharType="begin"/>
        </w:r>
        <w:r>
          <w:rPr>
            <w:noProof/>
            <w:webHidden/>
          </w:rPr>
          <w:instrText xml:space="preserve"> PAGEREF _Toc195126827 \h </w:instrText>
        </w:r>
        <w:r>
          <w:rPr>
            <w:noProof/>
            <w:webHidden/>
          </w:rPr>
        </w:r>
        <w:r>
          <w:rPr>
            <w:noProof/>
            <w:webHidden/>
          </w:rPr>
          <w:fldChar w:fldCharType="separate"/>
        </w:r>
        <w:r w:rsidR="005D75A7">
          <w:rPr>
            <w:noProof/>
            <w:webHidden/>
          </w:rPr>
          <w:t>15</w:t>
        </w:r>
        <w:r>
          <w:rPr>
            <w:noProof/>
            <w:webHidden/>
          </w:rPr>
          <w:fldChar w:fldCharType="end"/>
        </w:r>
      </w:hyperlink>
    </w:p>
    <w:p w14:paraId="09E60E44" w14:textId="7C2FF3DA" w:rsidR="00F23FF1" w:rsidRDefault="00F23FF1">
      <w:pPr>
        <w:pStyle w:val="TableofFigures"/>
        <w:tabs>
          <w:tab w:val="right" w:leader="dot" w:pos="10070"/>
        </w:tabs>
        <w:rPr>
          <w:b w:val="0"/>
          <w:noProof/>
          <w:kern w:val="2"/>
          <w:sz w:val="24"/>
          <w:szCs w:val="24"/>
          <w14:ligatures w14:val="standardContextual"/>
        </w:rPr>
      </w:pPr>
      <w:hyperlink w:anchor="_Toc195126828" w:history="1">
        <w:r w:rsidRPr="00083C05">
          <w:rPr>
            <w:rStyle w:val="Hyperlink"/>
            <w:noProof/>
          </w:rPr>
          <w:t>Figure 4</w:t>
        </w:r>
        <w:r w:rsidRPr="00083C05">
          <w:rPr>
            <w:rStyle w:val="Hyperlink"/>
            <w:rFonts w:cstheme="minorHAnsi"/>
            <w:noProof/>
          </w:rPr>
          <w:t xml:space="preserve">: </w:t>
        </w:r>
        <w:r w:rsidRPr="00083C05">
          <w:rPr>
            <w:rStyle w:val="Hyperlink"/>
            <w:rFonts w:cstheme="minorHAnsi"/>
            <w:bCs/>
            <w:noProof/>
          </w:rPr>
          <w:t>Average NRPs for agricultural sector by income category</w:t>
        </w:r>
        <w:r>
          <w:rPr>
            <w:noProof/>
            <w:webHidden/>
          </w:rPr>
          <w:tab/>
        </w:r>
        <w:r>
          <w:rPr>
            <w:noProof/>
            <w:webHidden/>
          </w:rPr>
          <w:fldChar w:fldCharType="begin"/>
        </w:r>
        <w:r>
          <w:rPr>
            <w:noProof/>
            <w:webHidden/>
          </w:rPr>
          <w:instrText xml:space="preserve"> PAGEREF _Toc195126828 \h </w:instrText>
        </w:r>
        <w:r>
          <w:rPr>
            <w:noProof/>
            <w:webHidden/>
          </w:rPr>
        </w:r>
        <w:r>
          <w:rPr>
            <w:noProof/>
            <w:webHidden/>
          </w:rPr>
          <w:fldChar w:fldCharType="separate"/>
        </w:r>
        <w:r w:rsidR="005D75A7">
          <w:rPr>
            <w:noProof/>
            <w:webHidden/>
          </w:rPr>
          <w:t>16</w:t>
        </w:r>
        <w:r>
          <w:rPr>
            <w:noProof/>
            <w:webHidden/>
          </w:rPr>
          <w:fldChar w:fldCharType="end"/>
        </w:r>
      </w:hyperlink>
    </w:p>
    <w:p w14:paraId="59BDF30F" w14:textId="737EAEB3" w:rsidR="00F23FF1" w:rsidRDefault="00F23FF1">
      <w:pPr>
        <w:pStyle w:val="TableofFigures"/>
        <w:tabs>
          <w:tab w:val="right" w:leader="dot" w:pos="10070"/>
        </w:tabs>
        <w:rPr>
          <w:b w:val="0"/>
          <w:noProof/>
          <w:kern w:val="2"/>
          <w:sz w:val="24"/>
          <w:szCs w:val="24"/>
          <w14:ligatures w14:val="standardContextual"/>
        </w:rPr>
      </w:pPr>
      <w:hyperlink w:anchor="_Toc195126829" w:history="1">
        <w:r w:rsidRPr="00083C05">
          <w:rPr>
            <w:rStyle w:val="Hyperlink"/>
            <w:noProof/>
          </w:rPr>
          <w:t>Figure 5:</w:t>
        </w:r>
        <w:r w:rsidRPr="00083C05">
          <w:rPr>
            <w:rStyle w:val="Hyperlink"/>
            <w:rFonts w:cstheme="minorHAnsi"/>
            <w:noProof/>
          </w:rPr>
          <w:t xml:space="preserve"> </w:t>
        </w:r>
        <w:r w:rsidRPr="00083C05">
          <w:rPr>
            <w:rStyle w:val="Hyperlink"/>
            <w:rFonts w:cstheme="minorHAnsi"/>
            <w:bCs/>
            <w:noProof/>
          </w:rPr>
          <w:t>Components of Total NRA as a share of Agricultural Output Value %</w:t>
        </w:r>
        <w:r>
          <w:rPr>
            <w:noProof/>
            <w:webHidden/>
          </w:rPr>
          <w:tab/>
        </w:r>
        <w:r>
          <w:rPr>
            <w:noProof/>
            <w:webHidden/>
          </w:rPr>
          <w:fldChar w:fldCharType="begin"/>
        </w:r>
        <w:r>
          <w:rPr>
            <w:noProof/>
            <w:webHidden/>
          </w:rPr>
          <w:instrText xml:space="preserve"> PAGEREF _Toc195126829 \h </w:instrText>
        </w:r>
        <w:r>
          <w:rPr>
            <w:noProof/>
            <w:webHidden/>
          </w:rPr>
        </w:r>
        <w:r>
          <w:rPr>
            <w:noProof/>
            <w:webHidden/>
          </w:rPr>
          <w:fldChar w:fldCharType="separate"/>
        </w:r>
        <w:r w:rsidR="005D75A7">
          <w:rPr>
            <w:noProof/>
            <w:webHidden/>
          </w:rPr>
          <w:t>18</w:t>
        </w:r>
        <w:r>
          <w:rPr>
            <w:noProof/>
            <w:webHidden/>
          </w:rPr>
          <w:fldChar w:fldCharType="end"/>
        </w:r>
      </w:hyperlink>
    </w:p>
    <w:p w14:paraId="672274AB" w14:textId="68A68FEF" w:rsidR="00F23FF1" w:rsidRDefault="00F23FF1">
      <w:pPr>
        <w:pStyle w:val="TableofFigures"/>
        <w:tabs>
          <w:tab w:val="right" w:leader="dot" w:pos="10070"/>
        </w:tabs>
        <w:rPr>
          <w:b w:val="0"/>
          <w:noProof/>
          <w:kern w:val="2"/>
          <w:sz w:val="24"/>
          <w:szCs w:val="24"/>
          <w14:ligatures w14:val="standardContextual"/>
        </w:rPr>
      </w:pPr>
      <w:hyperlink w:anchor="_Toc195126830" w:history="1">
        <w:r w:rsidRPr="00083C05">
          <w:rPr>
            <w:rStyle w:val="Hyperlink"/>
            <w:noProof/>
          </w:rPr>
          <w:t>Figure 6:</w:t>
        </w:r>
        <w:r w:rsidRPr="00083C05">
          <w:rPr>
            <w:rStyle w:val="Hyperlink"/>
            <w:rFonts w:cstheme="minorHAnsi"/>
            <w:noProof/>
          </w:rPr>
          <w:t xml:space="preserve"> </w:t>
        </w:r>
        <w:r w:rsidRPr="00083C05">
          <w:rPr>
            <w:rStyle w:val="Hyperlink"/>
            <w:rFonts w:cstheme="minorHAnsi"/>
            <w:bCs/>
            <w:noProof/>
          </w:rPr>
          <w:t>Components of Total NRA as a share of Agricultural Output Value % in High Income Countries</w:t>
        </w:r>
        <w:r>
          <w:rPr>
            <w:noProof/>
            <w:webHidden/>
          </w:rPr>
          <w:tab/>
        </w:r>
        <w:r>
          <w:rPr>
            <w:noProof/>
            <w:webHidden/>
          </w:rPr>
          <w:fldChar w:fldCharType="begin"/>
        </w:r>
        <w:r>
          <w:rPr>
            <w:noProof/>
            <w:webHidden/>
          </w:rPr>
          <w:instrText xml:space="preserve"> PAGEREF _Toc195126830 \h </w:instrText>
        </w:r>
        <w:r>
          <w:rPr>
            <w:noProof/>
            <w:webHidden/>
          </w:rPr>
        </w:r>
        <w:r>
          <w:rPr>
            <w:noProof/>
            <w:webHidden/>
          </w:rPr>
          <w:fldChar w:fldCharType="separate"/>
        </w:r>
        <w:r w:rsidR="005D75A7">
          <w:rPr>
            <w:noProof/>
            <w:webHidden/>
          </w:rPr>
          <w:t>19</w:t>
        </w:r>
        <w:r>
          <w:rPr>
            <w:noProof/>
            <w:webHidden/>
          </w:rPr>
          <w:fldChar w:fldCharType="end"/>
        </w:r>
      </w:hyperlink>
    </w:p>
    <w:p w14:paraId="2FE2A561" w14:textId="0CB642E7" w:rsidR="00F23FF1" w:rsidRDefault="00F23FF1">
      <w:pPr>
        <w:pStyle w:val="TableofFigures"/>
        <w:tabs>
          <w:tab w:val="right" w:leader="dot" w:pos="10070"/>
        </w:tabs>
        <w:rPr>
          <w:b w:val="0"/>
          <w:noProof/>
          <w:kern w:val="2"/>
          <w:sz w:val="24"/>
          <w:szCs w:val="24"/>
          <w14:ligatures w14:val="standardContextual"/>
        </w:rPr>
      </w:pPr>
      <w:hyperlink w:anchor="_Toc195126831" w:history="1">
        <w:r w:rsidRPr="00083C05">
          <w:rPr>
            <w:rStyle w:val="Hyperlink"/>
            <w:noProof/>
          </w:rPr>
          <w:t>Figure 7:</w:t>
        </w:r>
        <w:r w:rsidRPr="00083C05">
          <w:rPr>
            <w:rStyle w:val="Hyperlink"/>
            <w:rFonts w:cstheme="minorHAnsi"/>
            <w:noProof/>
          </w:rPr>
          <w:t xml:space="preserve"> </w:t>
        </w:r>
        <w:r w:rsidRPr="00083C05">
          <w:rPr>
            <w:rStyle w:val="Hyperlink"/>
            <w:rFonts w:cstheme="minorHAnsi"/>
            <w:bCs/>
            <w:noProof/>
          </w:rPr>
          <w:t>Components of Total NRA as a share of Agricultural Output Value % in Middle Income Countries</w:t>
        </w:r>
        <w:r>
          <w:rPr>
            <w:noProof/>
            <w:webHidden/>
          </w:rPr>
          <w:tab/>
        </w:r>
        <w:r>
          <w:rPr>
            <w:noProof/>
            <w:webHidden/>
          </w:rPr>
          <w:fldChar w:fldCharType="begin"/>
        </w:r>
        <w:r>
          <w:rPr>
            <w:noProof/>
            <w:webHidden/>
          </w:rPr>
          <w:instrText xml:space="preserve"> PAGEREF _Toc195126831 \h </w:instrText>
        </w:r>
        <w:r>
          <w:rPr>
            <w:noProof/>
            <w:webHidden/>
          </w:rPr>
        </w:r>
        <w:r>
          <w:rPr>
            <w:noProof/>
            <w:webHidden/>
          </w:rPr>
          <w:fldChar w:fldCharType="separate"/>
        </w:r>
        <w:r w:rsidR="005D75A7">
          <w:rPr>
            <w:noProof/>
            <w:webHidden/>
          </w:rPr>
          <w:t>20</w:t>
        </w:r>
        <w:r>
          <w:rPr>
            <w:noProof/>
            <w:webHidden/>
          </w:rPr>
          <w:fldChar w:fldCharType="end"/>
        </w:r>
      </w:hyperlink>
    </w:p>
    <w:p w14:paraId="24EF4B3D" w14:textId="48431D94" w:rsidR="00F23FF1" w:rsidRDefault="00F23FF1">
      <w:pPr>
        <w:pStyle w:val="TableofFigures"/>
        <w:tabs>
          <w:tab w:val="right" w:leader="dot" w:pos="10070"/>
        </w:tabs>
        <w:rPr>
          <w:b w:val="0"/>
          <w:noProof/>
          <w:kern w:val="2"/>
          <w:sz w:val="24"/>
          <w:szCs w:val="24"/>
          <w14:ligatures w14:val="standardContextual"/>
        </w:rPr>
      </w:pPr>
      <w:hyperlink w:anchor="_Toc195126832" w:history="1">
        <w:r w:rsidRPr="00083C05">
          <w:rPr>
            <w:rStyle w:val="Hyperlink"/>
            <w:noProof/>
          </w:rPr>
          <w:t>Figure 8:</w:t>
        </w:r>
        <w:r w:rsidRPr="00083C05">
          <w:rPr>
            <w:rStyle w:val="Hyperlink"/>
            <w:rFonts w:cstheme="minorHAnsi"/>
            <w:noProof/>
          </w:rPr>
          <w:t xml:space="preserve"> </w:t>
        </w:r>
        <w:r w:rsidRPr="00083C05">
          <w:rPr>
            <w:rStyle w:val="Hyperlink"/>
            <w:rFonts w:cstheme="minorHAnsi"/>
            <w:bCs/>
            <w:noProof/>
          </w:rPr>
          <w:t>Components of Total NRA as a share of Agricultural Output Value % in Low Income Countries</w:t>
        </w:r>
        <w:r>
          <w:rPr>
            <w:noProof/>
            <w:webHidden/>
          </w:rPr>
          <w:tab/>
        </w:r>
        <w:r>
          <w:rPr>
            <w:noProof/>
            <w:webHidden/>
          </w:rPr>
          <w:fldChar w:fldCharType="begin"/>
        </w:r>
        <w:r>
          <w:rPr>
            <w:noProof/>
            <w:webHidden/>
          </w:rPr>
          <w:instrText xml:space="preserve"> PAGEREF _Toc195126832 \h </w:instrText>
        </w:r>
        <w:r>
          <w:rPr>
            <w:noProof/>
            <w:webHidden/>
          </w:rPr>
        </w:r>
        <w:r>
          <w:rPr>
            <w:noProof/>
            <w:webHidden/>
          </w:rPr>
          <w:fldChar w:fldCharType="separate"/>
        </w:r>
        <w:r w:rsidR="005D75A7">
          <w:rPr>
            <w:noProof/>
            <w:webHidden/>
          </w:rPr>
          <w:t>21</w:t>
        </w:r>
        <w:r>
          <w:rPr>
            <w:noProof/>
            <w:webHidden/>
          </w:rPr>
          <w:fldChar w:fldCharType="end"/>
        </w:r>
      </w:hyperlink>
    </w:p>
    <w:p w14:paraId="415B492D" w14:textId="0B262434" w:rsidR="00576F73" w:rsidRPr="00A55A51" w:rsidRDefault="004D7B20" w:rsidP="00F817CF">
      <w:pPr>
        <w:pStyle w:val="Heading1"/>
        <w:rPr>
          <w:rFonts w:asciiTheme="minorHAnsi" w:hAnsiTheme="minorHAnsi" w:cstheme="minorHAnsi"/>
        </w:rPr>
      </w:pPr>
      <w:r w:rsidRPr="00A55A51">
        <w:rPr>
          <w:rFonts w:asciiTheme="minorHAnsi" w:hAnsiTheme="minorHAnsi" w:cstheme="minorHAnsi"/>
        </w:rPr>
        <w:fldChar w:fldCharType="end"/>
      </w:r>
      <w:bookmarkStart w:id="3" w:name="_Hlk37426546"/>
    </w:p>
    <w:p w14:paraId="067BD5C4" w14:textId="77777777" w:rsidR="00576F73" w:rsidRPr="00A55A51" w:rsidRDefault="00576F73">
      <w:pPr>
        <w:rPr>
          <w:rFonts w:eastAsiaTheme="majorEastAsia" w:cstheme="minorHAnsi"/>
          <w:b/>
          <w:bCs/>
          <w:caps/>
          <w:color w:val="62BB46" w:themeColor="text2"/>
          <w:sz w:val="36"/>
          <w:szCs w:val="28"/>
        </w:rPr>
      </w:pPr>
      <w:r w:rsidRPr="00A55A51">
        <w:rPr>
          <w:rFonts w:cstheme="minorHAnsi"/>
        </w:rPr>
        <w:br w:type="page"/>
      </w:r>
    </w:p>
    <w:p w14:paraId="4FA48E23" w14:textId="7B33E345" w:rsidR="00EE34B1" w:rsidRPr="00A55A51" w:rsidRDefault="005E534F" w:rsidP="009D2A7F">
      <w:pPr>
        <w:pStyle w:val="Heading2"/>
        <w:rPr>
          <w:rFonts w:asciiTheme="minorHAnsi" w:hAnsiTheme="minorHAnsi" w:cstheme="minorHAnsi"/>
        </w:rPr>
      </w:pPr>
      <w:bookmarkStart w:id="4" w:name="_Toc195126850"/>
      <w:r w:rsidRPr="00A55A51">
        <w:rPr>
          <w:rFonts w:asciiTheme="minorHAnsi" w:hAnsiTheme="minorHAnsi" w:cstheme="minorHAnsi"/>
        </w:rPr>
        <w:lastRenderedPageBreak/>
        <w:t xml:space="preserve">1. </w:t>
      </w:r>
      <w:r w:rsidR="00F817CF" w:rsidRPr="00A55A51">
        <w:rPr>
          <w:rFonts w:asciiTheme="minorHAnsi" w:hAnsiTheme="minorHAnsi" w:cstheme="minorHAnsi"/>
        </w:rPr>
        <w:t>Introduction</w:t>
      </w:r>
      <w:bookmarkEnd w:id="4"/>
    </w:p>
    <w:p w14:paraId="667E6996" w14:textId="34D0D07B" w:rsidR="00740FCC" w:rsidRPr="00A55A51" w:rsidRDefault="00740FCC" w:rsidP="00740FCC">
      <w:pPr>
        <w:spacing w:afterLines="160" w:after="384" w:line="360" w:lineRule="auto"/>
        <w:rPr>
          <w:rFonts w:cstheme="minorHAnsi"/>
        </w:rPr>
      </w:pPr>
      <w:r w:rsidRPr="00A55A51">
        <w:rPr>
          <w:rFonts w:cstheme="minorHAnsi"/>
        </w:rPr>
        <w:t xml:space="preserve">Prior to the 1980s, the available evidence on the changes in incentives provided by governments to farmers was extremely poor. While Josling (FAO 1973) had provided a </w:t>
      </w:r>
      <w:r w:rsidR="00AB30CF" w:rsidRPr="00A55A51">
        <w:rPr>
          <w:rFonts w:cstheme="minorHAnsi"/>
        </w:rPr>
        <w:t>widely agreed</w:t>
      </w:r>
      <w:r w:rsidRPr="00A55A51">
        <w:rPr>
          <w:rFonts w:cstheme="minorHAnsi"/>
        </w:rPr>
        <w:t xml:space="preserve"> methodology for measuring these changes, few studies were undertaken and those that were undertaken were frequently of limited commodity coverage and duration. Debates about assistance were therefore based on limited information, with participants frequently choosing arguments based on their own preferred sets of alternative facts. </w:t>
      </w:r>
    </w:p>
    <w:p w14:paraId="1AA58D7D" w14:textId="77777777" w:rsidR="00740FCC" w:rsidRPr="00A55A51" w:rsidRDefault="00740FCC" w:rsidP="00740FCC">
      <w:pPr>
        <w:spacing w:afterLines="160" w:after="384" w:line="360" w:lineRule="auto"/>
        <w:rPr>
          <w:rFonts w:cstheme="minorHAnsi"/>
        </w:rPr>
      </w:pPr>
      <w:r w:rsidRPr="00A55A51">
        <w:rPr>
          <w:rFonts w:cstheme="minorHAnsi"/>
        </w:rPr>
        <w:t xml:space="preserve">This changed during the 1980s, when the OECD began to monitor the producer support provided by governments in OECD countries. The famous Krueger, Schiff and Valdes (1988) studies of agricultural distortions in developing countries provided detailed information for 18 such countries. These two sets of studies yielded two key stylized facts—that agriculture in developed countries was typically highly protected, while it was generally taxed—and frequently highly taxed—in developing countries. </w:t>
      </w:r>
    </w:p>
    <w:p w14:paraId="5C31C0C3" w14:textId="77777777" w:rsidR="00740FCC" w:rsidRPr="00A55A51" w:rsidRDefault="00740FCC" w:rsidP="00740FCC">
      <w:pPr>
        <w:spacing w:afterLines="160" w:after="384" w:line="360" w:lineRule="auto"/>
        <w:rPr>
          <w:rFonts w:cstheme="minorHAnsi"/>
        </w:rPr>
      </w:pPr>
      <w:r w:rsidRPr="00A55A51">
        <w:rPr>
          <w:rFonts w:cstheme="minorHAnsi"/>
        </w:rPr>
        <w:t xml:space="preserve">During the early 2000s, the large set of studies coordinated by Kym Anderson provided information on approximately 80 countries (including estimates based on the OECD monitoring) and updated our assessment of developments. The estimates for OECD countries showed a clear downward trend from their peak levels around 1986-88, while protection rates were trending up strongly in developing countries. </w:t>
      </w:r>
    </w:p>
    <w:p w14:paraId="7BBCD632" w14:textId="77777777" w:rsidR="00740FCC" w:rsidRPr="00A55A51" w:rsidRDefault="00740FCC" w:rsidP="00740FCC">
      <w:pPr>
        <w:spacing w:afterLines="160" w:after="384" w:line="360" w:lineRule="auto"/>
        <w:rPr>
          <w:rFonts w:cstheme="minorHAnsi"/>
        </w:rPr>
      </w:pPr>
      <w:r w:rsidRPr="00A55A51">
        <w:rPr>
          <w:rFonts w:cstheme="minorHAnsi"/>
        </w:rPr>
        <w:t xml:space="preserve">It has become clear that—rather than relying on intermittently-produced one-off studies of agricultural protection—there is a need for continuously-updated estimates. Fortunately, the key elements of such a database can be assembled based on work that is ongoing in a number of key international organizations—the FAO; the Inter-American Development Bank; the OECD; the World Bank.  IFPRI is providing the framework in which these data will be presented in a common format at </w:t>
      </w:r>
      <w:hyperlink r:id="rId15" w:history="1">
        <w:r w:rsidRPr="00A55A51">
          <w:rPr>
            <w:rStyle w:val="Hyperlink"/>
            <w:rFonts w:cstheme="minorHAnsi"/>
          </w:rPr>
          <w:t>http://www.agincentives.org</w:t>
        </w:r>
      </w:hyperlink>
      <w:r w:rsidRPr="00A55A51">
        <w:rPr>
          <w:rFonts w:cstheme="minorHAnsi"/>
        </w:rPr>
        <w:t xml:space="preserve">. By working together, these organizations will be able to provide useful, continuously-updated and relatively comprehensive information to users at relatively low cost. </w:t>
      </w:r>
    </w:p>
    <w:p w14:paraId="167248CF" w14:textId="77777777" w:rsidR="00740FCC" w:rsidRPr="00A55A51" w:rsidRDefault="00740FCC" w:rsidP="00740FCC">
      <w:pPr>
        <w:tabs>
          <w:tab w:val="left" w:pos="540"/>
        </w:tabs>
        <w:spacing w:line="360" w:lineRule="auto"/>
        <w:rPr>
          <w:rFonts w:cstheme="minorHAnsi"/>
        </w:rPr>
      </w:pPr>
      <w:r w:rsidRPr="00A55A51">
        <w:rPr>
          <w:rFonts w:cstheme="minorHAnsi"/>
        </w:rPr>
        <w:t xml:space="preserve">Because of differences in databases, methodologies, and time spans, it has been relatively difficult for analysts to obtain consistent long-term measurements of agricultural distortions across all developed and developing countries. This made it difficult for policy makers to correctly measure, compare, and interpret the impact of their policy designs across commodities, countries, and time spans. To improve on this situation, an Agricultural (Ag) Incentives Consortium including the major international organizations (IO) active in measurement of agricultural incentives--OECD, FAO, IDB, IFPRI, and the World Bank was formed. The AgIncentives Consortium focuses on organizing collaboration among IOs in order to provide better estimates of agricultural incentives, and to contribute to better policies. One pillar </w:t>
      </w:r>
      <w:r w:rsidRPr="00A55A51">
        <w:rPr>
          <w:rFonts w:cstheme="minorHAnsi"/>
        </w:rPr>
        <w:lastRenderedPageBreak/>
        <w:t>of this coordination involves generating a common set of clearly defined and well-documented common indicators, with a focus on price incentives. A second pillar is about expanding country and product coverage. A third pillar is providing a platform for tackling new issues and improving methodologies.</w:t>
      </w:r>
    </w:p>
    <w:p w14:paraId="395FDE6E" w14:textId="77777777" w:rsidR="00740FCC" w:rsidRPr="00A55A51" w:rsidRDefault="00740FCC" w:rsidP="00740FCC">
      <w:pPr>
        <w:tabs>
          <w:tab w:val="left" w:pos="540"/>
        </w:tabs>
        <w:spacing w:line="360" w:lineRule="auto"/>
        <w:rPr>
          <w:rFonts w:cstheme="minorHAnsi"/>
        </w:rPr>
      </w:pPr>
      <w:r w:rsidRPr="00A55A51">
        <w:rPr>
          <w:rFonts w:cstheme="minorHAnsi"/>
        </w:rPr>
        <w:tab/>
        <w:t xml:space="preserve">A key element of the 2024 revamp of the database has been the inclusion of Nominal Rate of Assistance (NRA) measures. These include not just the support provided by trade measures, but support provided by subsidies paid on outputs, inputs, and on other criteria. These subsidies are particularly relevant to current debates on repurposing agricultural support because their impacts on economic, environmental, and social outcomes are strongly influenced by the design of agricultural support programs. </w:t>
      </w:r>
    </w:p>
    <w:p w14:paraId="2DE4E267" w14:textId="77777777" w:rsidR="00740FCC" w:rsidRPr="00A55A51" w:rsidRDefault="00740FCC" w:rsidP="00740FCC">
      <w:pPr>
        <w:spacing w:afterLines="160" w:after="384" w:line="360" w:lineRule="auto"/>
        <w:rPr>
          <w:rFonts w:cstheme="minorHAnsi"/>
        </w:rPr>
      </w:pPr>
      <w:r w:rsidRPr="00A55A51">
        <w:rPr>
          <w:rFonts w:cstheme="minorHAnsi"/>
        </w:rPr>
        <w:tab/>
        <w:t>In this paper, we first present a summary of the efforts in the literature to measure distortions and the relevant methodological discussions. Next, we present a synopsis of the Consortium and its goals, as well as data processing conducted for the databases of members of the Consortium. Then, we highlight key features of the Nominal Rate of Assistance measures now provided in the database. We, then, present and discuss the behavior of the NRPs over time. The final section concludes.</w:t>
      </w:r>
    </w:p>
    <w:p w14:paraId="1EA726E8" w14:textId="7CD17D34" w:rsidR="002C2409" w:rsidRPr="00A55A51" w:rsidRDefault="009D2A7F" w:rsidP="009D2A7F">
      <w:pPr>
        <w:pStyle w:val="Heading2"/>
        <w:rPr>
          <w:rFonts w:asciiTheme="minorHAnsi" w:hAnsiTheme="minorHAnsi" w:cstheme="minorHAnsi"/>
        </w:rPr>
      </w:pPr>
      <w:bookmarkStart w:id="5" w:name="_Toc195126851"/>
      <w:bookmarkEnd w:id="3"/>
      <w:r w:rsidRPr="00A55A51">
        <w:rPr>
          <w:rFonts w:asciiTheme="minorHAnsi" w:hAnsiTheme="minorHAnsi" w:cstheme="minorHAnsi"/>
        </w:rPr>
        <w:t xml:space="preserve">2. </w:t>
      </w:r>
      <w:r w:rsidR="00BF7E08" w:rsidRPr="00A55A51">
        <w:rPr>
          <w:rFonts w:asciiTheme="minorHAnsi" w:hAnsiTheme="minorHAnsi" w:cstheme="minorHAnsi"/>
        </w:rPr>
        <w:t>Methodologies in the literature</w:t>
      </w:r>
      <w:bookmarkEnd w:id="5"/>
    </w:p>
    <w:p w14:paraId="366AAAFB" w14:textId="77777777" w:rsidR="00BE7635" w:rsidRPr="00A55A51" w:rsidRDefault="00BE7635" w:rsidP="00BE7635">
      <w:pPr>
        <w:tabs>
          <w:tab w:val="left" w:pos="540"/>
        </w:tabs>
        <w:spacing w:after="120" w:line="360" w:lineRule="auto"/>
        <w:rPr>
          <w:rFonts w:cstheme="minorHAnsi"/>
          <w:color w:val="000000"/>
        </w:rPr>
      </w:pPr>
      <w:r w:rsidRPr="00A55A51">
        <w:rPr>
          <w:rFonts w:cstheme="minorHAnsi"/>
          <w:color w:val="000000"/>
        </w:rPr>
        <w:t>One broad approach to measurement of trade distortions focuses on the measures actually used to provide protection (or taxation). Databases such as UNCTAD TRAINS database consolidate measures of tariffs and nontariff measures, including taking the tariff equivalents of specific, mixed, and compound tariffs. The WTO provides measures of both applied tariff rates and the schedules of commitments (bound tariffs) made by countries in WTO negotiations. The WITS software provides easy access to these databases (</w:t>
      </w:r>
      <w:hyperlink r:id="rId16" w:history="1">
        <w:r w:rsidRPr="00A55A51">
          <w:rPr>
            <w:rStyle w:val="Hyperlink"/>
            <w:rFonts w:cstheme="minorHAnsi"/>
          </w:rPr>
          <w:t>www.wits.worldbank.org</w:t>
        </w:r>
      </w:hyperlink>
      <w:r w:rsidRPr="00A55A51">
        <w:rPr>
          <w:rFonts w:cstheme="minorHAnsi"/>
          <w:color w:val="000000"/>
        </w:rPr>
        <w:t xml:space="preserve">). </w:t>
      </w:r>
    </w:p>
    <w:p w14:paraId="352E3A5F" w14:textId="6AB469BB" w:rsidR="00BE7635" w:rsidRPr="00A55A51" w:rsidRDefault="00BE7635" w:rsidP="00BE7635">
      <w:pPr>
        <w:tabs>
          <w:tab w:val="left" w:pos="540"/>
        </w:tabs>
        <w:spacing w:after="120" w:line="360" w:lineRule="auto"/>
        <w:rPr>
          <w:rFonts w:cstheme="minorHAnsi"/>
          <w:color w:val="000000"/>
        </w:rPr>
      </w:pPr>
      <w:r w:rsidRPr="00A55A51">
        <w:rPr>
          <w:rFonts w:cstheme="minorHAnsi"/>
          <w:color w:val="000000"/>
        </w:rPr>
        <w:tab/>
        <w:t xml:space="preserve">While tariff-based measures are relatively easy to interpret and </w:t>
      </w:r>
      <w:proofErr w:type="spellStart"/>
      <w:r w:rsidRPr="00A55A51">
        <w:rPr>
          <w:rFonts w:cstheme="minorHAnsi"/>
          <w:color w:val="000000"/>
        </w:rPr>
        <w:t>analyse</w:t>
      </w:r>
      <w:proofErr w:type="spellEnd"/>
      <w:r w:rsidRPr="00A55A51">
        <w:rPr>
          <w:rFonts w:cstheme="minorHAnsi"/>
          <w:color w:val="000000"/>
        </w:rPr>
        <w:t>, much agricultural protection and/or taxation is implemented using nontariff barriers such as tariff-rate-quotas, licenses, bans and sanitary and phytosanitary measures. For these, it is important to have measures of frequency and coverage, such as are provided by the UNCTAD TRAINS database (</w:t>
      </w:r>
      <w:hyperlink r:id="rId17" w:history="1">
        <w:r w:rsidRPr="00A55A51">
          <w:rPr>
            <w:rStyle w:val="Hyperlink"/>
            <w:rFonts w:cstheme="minorHAnsi"/>
          </w:rPr>
          <w:t>www.unctad.org</w:t>
        </w:r>
      </w:hyperlink>
      <w:r w:rsidRPr="00A55A51">
        <w:rPr>
          <w:rFonts w:cstheme="minorHAnsi"/>
          <w:color w:val="000000"/>
        </w:rPr>
        <w:t xml:space="preserve">). Unfortunately converting this information into measures of the extent to which trade is distorted, or producers are supported, is not straightforward. Simply knowing that imports of a particular good are limited to 10,000 </w:t>
      </w:r>
      <w:r w:rsidR="00AB30CF" w:rsidRPr="00A55A51">
        <w:rPr>
          <w:rFonts w:cstheme="minorHAnsi"/>
          <w:color w:val="000000"/>
        </w:rPr>
        <w:t>tons</w:t>
      </w:r>
      <w:r w:rsidRPr="00A55A51">
        <w:rPr>
          <w:rFonts w:cstheme="minorHAnsi"/>
          <w:color w:val="000000"/>
        </w:rPr>
        <w:t xml:space="preserve"> tells us nothing about the trade restrictive impact of a quota unless we know what imports would have been in the absence of the quota. The usual approach taken to dealing with this problem is to estimate the </w:t>
      </w:r>
      <w:r w:rsidRPr="00A55A51">
        <w:rPr>
          <w:rFonts w:cstheme="minorHAnsi"/>
          <w:i/>
          <w:color w:val="000000"/>
        </w:rPr>
        <w:t>ad valorem</w:t>
      </w:r>
      <w:r w:rsidRPr="00A55A51">
        <w:rPr>
          <w:rFonts w:cstheme="minorHAnsi"/>
          <w:color w:val="000000"/>
        </w:rPr>
        <w:t xml:space="preserve"> tariff that would, under specified conditions, have the same effect on trade as the tariff.</w:t>
      </w:r>
    </w:p>
    <w:p w14:paraId="49822A86" w14:textId="77777777" w:rsidR="00BE7635" w:rsidRPr="00A55A51" w:rsidRDefault="00BE7635" w:rsidP="00BE7635">
      <w:pPr>
        <w:tabs>
          <w:tab w:val="left" w:pos="547"/>
        </w:tabs>
        <w:spacing w:after="120" w:line="360" w:lineRule="auto"/>
        <w:rPr>
          <w:rFonts w:cstheme="minorHAnsi"/>
          <w:color w:val="000000"/>
        </w:rPr>
      </w:pPr>
      <w:r w:rsidRPr="00A55A51">
        <w:rPr>
          <w:rFonts w:cstheme="minorHAnsi"/>
          <w:color w:val="000000"/>
        </w:rPr>
        <w:tab/>
        <w:t>Given the wide variety of policy instruments used to influence agricultural prices and outputs, the primary method for estimating the tariff equivalents of agricultural trade barriers is comparison of inter</w:t>
      </w:r>
      <w:r w:rsidRPr="00A55A51">
        <w:rPr>
          <w:rFonts w:cstheme="minorHAnsi"/>
          <w:color w:val="000000"/>
        </w:rPr>
        <w:lastRenderedPageBreak/>
        <w:t xml:space="preserve">nal and external prices at a common reference point. If an import quota, for instance, reduces the availability of the good in the domestic market enough to increase its price by 20 percent relative to the external price, then that quota is viewed as being equivalent in its effect to a 20 percent </w:t>
      </w:r>
      <w:r w:rsidRPr="00A55A51">
        <w:rPr>
          <w:rFonts w:cstheme="minorHAnsi"/>
          <w:i/>
          <w:color w:val="000000"/>
        </w:rPr>
        <w:t>ad valorem</w:t>
      </w:r>
      <w:r w:rsidRPr="00A55A51">
        <w:rPr>
          <w:rFonts w:cstheme="minorHAnsi"/>
          <w:color w:val="000000"/>
        </w:rPr>
        <w:t xml:space="preserve"> tariff. </w:t>
      </w:r>
    </w:p>
    <w:p w14:paraId="21A6329E" w14:textId="77777777" w:rsidR="00BE7635" w:rsidRPr="00A55A51" w:rsidRDefault="00BE7635" w:rsidP="00BE7635">
      <w:pPr>
        <w:tabs>
          <w:tab w:val="left" w:pos="547"/>
        </w:tabs>
        <w:spacing w:after="120" w:line="360" w:lineRule="auto"/>
        <w:rPr>
          <w:rFonts w:cstheme="minorHAnsi"/>
          <w:color w:val="000000"/>
        </w:rPr>
      </w:pPr>
      <w:r w:rsidRPr="00A55A51">
        <w:rPr>
          <w:rFonts w:cstheme="minorHAnsi"/>
          <w:color w:val="000000"/>
        </w:rPr>
        <w:tab/>
        <w:t xml:space="preserve">This approach was used by Krueger, Schiff and Valdes (1988) to estimate the tariff equivalents of the range of policy interventions that changed the domestic prices for agricultural goods relative to their external prices in a range of developing countries. This effect was measured as the proportional difference of the Producer Price (PP) relative to border prices adjusted for distribution, storage, transport, and other marketing costs (the Reference Price, RP). This measure is essentially a tariff-equivalent, </w:t>
      </w:r>
      <w:r w:rsidRPr="00A55A51">
        <w:rPr>
          <w:rFonts w:cstheme="minorHAnsi"/>
          <w:i/>
          <w:color w:val="000000"/>
        </w:rPr>
        <w:t>t</w:t>
      </w:r>
      <w:r w:rsidRPr="00A55A51">
        <w:rPr>
          <w:rFonts w:cstheme="minorHAnsi"/>
          <w:color w:val="000000"/>
        </w:rPr>
        <w:t xml:space="preserve">, of the measures used to influence domestic prices. The NRP is measured as: </w:t>
      </w:r>
    </w:p>
    <w:p w14:paraId="7FF0AC5D" w14:textId="77777777" w:rsidR="00BE7635" w:rsidRPr="00A55A51" w:rsidRDefault="00BE7635" w:rsidP="00BE7635">
      <w:pPr>
        <w:tabs>
          <w:tab w:val="left" w:pos="1080"/>
        </w:tabs>
        <w:spacing w:after="120"/>
        <w:rPr>
          <w:rFonts w:cstheme="minorHAnsi"/>
        </w:rPr>
      </w:pPr>
      <w:r w:rsidRPr="00A55A51">
        <w:rPr>
          <w:rFonts w:cstheme="minorHAnsi"/>
        </w:rPr>
        <w:t>(1)</w:t>
      </w:r>
      <w:r w:rsidRPr="00A55A51">
        <w:rPr>
          <w:rFonts w:cstheme="minorHAnsi"/>
          <w:i/>
        </w:rPr>
        <w:tab/>
      </w:r>
      <w:proofErr w:type="spellStart"/>
      <w:r w:rsidRPr="00A55A51">
        <w:rPr>
          <w:rFonts w:cstheme="minorHAnsi"/>
          <w:i/>
        </w:rPr>
        <w:t>NRP</w:t>
      </w:r>
      <w:r w:rsidRPr="00A55A51">
        <w:rPr>
          <w:rFonts w:cstheme="minorHAnsi"/>
          <w:i/>
          <w:vertAlign w:val="subscript"/>
        </w:rPr>
        <w:t>i</w:t>
      </w:r>
      <w:proofErr w:type="spellEnd"/>
      <w:r w:rsidRPr="00A55A51">
        <w:rPr>
          <w:rFonts w:cstheme="minorHAnsi"/>
          <w:i/>
        </w:rPr>
        <w:t xml:space="preserve"> = </w:t>
      </w:r>
      <w:r w:rsidRPr="00A55A51">
        <w:rPr>
          <w:rFonts w:cstheme="minorHAnsi"/>
        </w:rPr>
        <w:t>((</w:t>
      </w:r>
      <w:proofErr w:type="spellStart"/>
      <w:r w:rsidRPr="00A55A51">
        <w:rPr>
          <w:rFonts w:cstheme="minorHAnsi"/>
          <w:i/>
        </w:rPr>
        <w:t>PP</w:t>
      </w:r>
      <w:r w:rsidRPr="00A55A51">
        <w:rPr>
          <w:rFonts w:cstheme="minorHAnsi"/>
          <w:i/>
          <w:vertAlign w:val="subscript"/>
        </w:rPr>
        <w:t>i</w:t>
      </w:r>
      <w:proofErr w:type="spellEnd"/>
      <w:r w:rsidRPr="00A55A51">
        <w:rPr>
          <w:rFonts w:cstheme="minorHAnsi"/>
          <w:i/>
        </w:rPr>
        <w:t xml:space="preserve">  / RP</w:t>
      </w:r>
      <w:r w:rsidRPr="00A55A51">
        <w:rPr>
          <w:rFonts w:cstheme="minorHAnsi"/>
          <w:i/>
          <w:vertAlign w:val="subscript"/>
        </w:rPr>
        <w:t>i</w:t>
      </w:r>
      <w:r w:rsidRPr="00A55A51">
        <w:rPr>
          <w:rFonts w:cstheme="minorHAnsi"/>
        </w:rPr>
        <w:t>)</w:t>
      </w:r>
      <w:r w:rsidRPr="00A55A51">
        <w:rPr>
          <w:rFonts w:cstheme="minorHAnsi"/>
          <w:i/>
        </w:rPr>
        <w:t xml:space="preserve">  –</w:t>
      </w:r>
      <w:r w:rsidRPr="00A55A51">
        <w:rPr>
          <w:rFonts w:cstheme="minorHAnsi"/>
        </w:rPr>
        <w:t xml:space="preserve"> 1)</w:t>
      </w:r>
      <w:r w:rsidRPr="00A55A51">
        <w:rPr>
          <w:rFonts w:cstheme="minorHAnsi"/>
          <w:i/>
        </w:rPr>
        <w:t xml:space="preserve"> </w:t>
      </w:r>
    </w:p>
    <w:p w14:paraId="4F116B3D" w14:textId="77777777" w:rsidR="00BE7635" w:rsidRPr="00A55A51" w:rsidRDefault="00BE7635" w:rsidP="006610DA">
      <w:pPr>
        <w:spacing w:after="0"/>
        <w:ind w:left="720"/>
        <w:rPr>
          <w:rFonts w:cstheme="minorHAnsi"/>
        </w:rPr>
      </w:pPr>
    </w:p>
    <w:p w14:paraId="6A4BDBF3" w14:textId="77777777" w:rsidR="00BE7635" w:rsidRPr="00A55A51" w:rsidRDefault="00BE7635" w:rsidP="00BE7635">
      <w:pPr>
        <w:tabs>
          <w:tab w:val="left" w:pos="547"/>
        </w:tabs>
        <w:spacing w:after="120" w:line="360" w:lineRule="auto"/>
        <w:rPr>
          <w:rFonts w:cstheme="minorHAnsi"/>
        </w:rPr>
      </w:pPr>
      <w:r w:rsidRPr="00A55A51">
        <w:rPr>
          <w:rFonts w:cstheme="minorHAnsi"/>
          <w:color w:val="000000"/>
        </w:rPr>
        <w:tab/>
        <w:t xml:space="preserve">Anderson et al. (2008) expanded this effort by measuring, in addition, the Nominal Rate of Assistance to agriculture, NRA, which includes policy measures other than trade barriers that affect the incentives for agricultural production in a country. They also outlined many of the methodological issues involved in deriving such numbers. Different components of NRA were identified and defined, such as the </w:t>
      </w:r>
      <w:r w:rsidRPr="00A55A51">
        <w:rPr>
          <w:rFonts w:cstheme="minorHAnsi"/>
        </w:rPr>
        <w:t xml:space="preserve">NRA to farm output conferred by border price support, the NRA to output conferred by domestic price support, and the NRA to inputs, among others. </w:t>
      </w:r>
      <w:r w:rsidRPr="00A55A51">
        <w:rPr>
          <w:rFonts w:cstheme="minorHAnsi"/>
          <w:color w:val="000000"/>
        </w:rPr>
        <w:t>Furthermore, there is clearer identification of non-distortionary price wedges such as transportation and processing costs relative to distortionary price wedges introduced by policy, which help in location and evaluation of prices being transmitted along the value chain.</w:t>
      </w:r>
    </w:p>
    <w:p w14:paraId="7B41DC7B" w14:textId="77777777" w:rsidR="00BE7635" w:rsidRPr="00A55A51" w:rsidRDefault="00BE7635" w:rsidP="00BE7635">
      <w:pPr>
        <w:tabs>
          <w:tab w:val="left" w:pos="547"/>
        </w:tabs>
        <w:spacing w:after="120" w:line="360" w:lineRule="auto"/>
        <w:rPr>
          <w:rFonts w:cstheme="minorHAnsi"/>
          <w:color w:val="000000"/>
        </w:rPr>
      </w:pPr>
      <w:r w:rsidRPr="00A55A51">
        <w:rPr>
          <w:rFonts w:cstheme="minorHAnsi"/>
          <w:color w:val="000000"/>
        </w:rPr>
        <w:tab/>
        <w:t xml:space="preserve">For direct measurement of policies, OECD has a major effort with, the Producer Support Estimate, PSE (OECD 2022). For OECD, the PSE is a part of the Total Support Estimate, which is an indicator of the annual monetary value of all gross transfers from taxpayers and consumers arising from policy measures that support agriculture, net of the associated budgetary receipts. Here, the percentage PSE represents policy transfers to agricultural producers, measured at the farm gate and expressed as a share of gross farm receipts, including support. </w:t>
      </w:r>
    </w:p>
    <w:p w14:paraId="28B44768" w14:textId="77777777" w:rsidR="00BE7635" w:rsidRPr="00A55A51" w:rsidRDefault="00BE7635" w:rsidP="00BE7635">
      <w:pPr>
        <w:tabs>
          <w:tab w:val="left" w:pos="547"/>
        </w:tabs>
        <w:spacing w:after="120" w:line="360" w:lineRule="auto"/>
        <w:rPr>
          <w:rFonts w:cstheme="minorHAnsi"/>
          <w:color w:val="000000"/>
        </w:rPr>
      </w:pPr>
      <w:r w:rsidRPr="00A55A51">
        <w:rPr>
          <w:rFonts w:cstheme="minorHAnsi"/>
          <w:color w:val="000000"/>
        </w:rPr>
        <w:tab/>
        <w:t xml:space="preserve">The PSE and the NRP are fundamentally different and comparing them directly is a common—and frequently major—source of error. Fortunately, there is a simple mapping between the NRP and the PSE that is frequently useful in comparing them. If, for simplicity, we consider the quantity of a good that costs $1 at the border, then an NRP of </w:t>
      </w:r>
      <w:r w:rsidRPr="00A55A51">
        <w:rPr>
          <w:rFonts w:cstheme="minorHAnsi"/>
          <w:i/>
          <w:color w:val="000000"/>
        </w:rPr>
        <w:t>t</w:t>
      </w:r>
      <w:r w:rsidRPr="00A55A51">
        <w:rPr>
          <w:rFonts w:cstheme="minorHAnsi"/>
          <w:color w:val="000000"/>
        </w:rPr>
        <w:t xml:space="preserve"> means that good has a domestic value of (1+</w:t>
      </w:r>
      <w:r w:rsidRPr="00A55A51">
        <w:rPr>
          <w:rFonts w:cstheme="minorHAnsi"/>
          <w:i/>
          <w:color w:val="000000"/>
        </w:rPr>
        <w:t>t</w:t>
      </w:r>
      <w:r w:rsidRPr="00A55A51">
        <w:rPr>
          <w:rFonts w:cstheme="minorHAnsi"/>
          <w:color w:val="000000"/>
        </w:rPr>
        <w:t xml:space="preserve">). The PSE for this good is </w:t>
      </w:r>
    </w:p>
    <w:p w14:paraId="272429D7" w14:textId="77777777" w:rsidR="00BE7635" w:rsidRPr="00E7126F" w:rsidRDefault="00BE7635" w:rsidP="00BE7635">
      <w:pPr>
        <w:tabs>
          <w:tab w:val="left" w:pos="547"/>
        </w:tabs>
        <w:spacing w:after="120"/>
        <w:rPr>
          <w:rFonts w:cstheme="minorHAnsi"/>
          <w:color w:val="000000"/>
        </w:rPr>
      </w:pPr>
      <w:r w:rsidRPr="00E7126F">
        <w:rPr>
          <w:rFonts w:cstheme="minorHAnsi"/>
          <w:color w:val="000000"/>
        </w:rPr>
        <w:t>(2)</w:t>
      </w:r>
      <w:r w:rsidRPr="00E7126F">
        <w:rPr>
          <w:rFonts w:cstheme="minorHAnsi"/>
          <w:color w:val="000000"/>
        </w:rPr>
        <w:tab/>
      </w:r>
      <w:r w:rsidRPr="00E7126F">
        <w:rPr>
          <w:rFonts w:cstheme="minorHAnsi"/>
          <w:color w:val="000000"/>
        </w:rPr>
        <w:tab/>
      </w:r>
      <w:r w:rsidRPr="00E7126F">
        <w:rPr>
          <w:rFonts w:cstheme="minorHAnsi"/>
          <w:color w:val="000000"/>
        </w:rPr>
        <w:tab/>
      </w:r>
      <m:oMath>
        <m:sSub>
          <m:sSubPr>
            <m:ctrlPr>
              <w:rPr>
                <w:rFonts w:ascii="Cambria Math" w:hAnsi="Cambria Math" w:cstheme="minorHAnsi"/>
                <w:i/>
                <w:color w:val="000000"/>
              </w:rPr>
            </m:ctrlPr>
          </m:sSubPr>
          <m:e>
            <m:r>
              <w:rPr>
                <w:rFonts w:ascii="Cambria Math" w:hAnsi="Cambria Math" w:cstheme="minorHAnsi"/>
                <w:color w:val="000000"/>
              </w:rPr>
              <m:t>PSE</m:t>
            </m:r>
          </m:e>
          <m:sub>
            <m:r>
              <w:rPr>
                <w:rFonts w:ascii="Cambria Math" w:hAnsi="Cambria Math" w:cstheme="minorHAnsi"/>
                <w:color w:val="000000"/>
              </w:rPr>
              <m:t>i</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t</m:t>
            </m:r>
          </m:num>
          <m:den>
            <m:r>
              <w:rPr>
                <w:rFonts w:ascii="Cambria Math" w:hAnsi="Cambria Math" w:cstheme="minorHAnsi"/>
                <w:color w:val="000000"/>
              </w:rPr>
              <m:t>1+t</m:t>
            </m:r>
          </m:den>
        </m:f>
      </m:oMath>
    </w:p>
    <w:p w14:paraId="3165D467" w14:textId="77777777" w:rsidR="00BE7635" w:rsidRPr="00A55A51" w:rsidRDefault="00BE7635" w:rsidP="00BE7635">
      <w:pPr>
        <w:tabs>
          <w:tab w:val="left" w:pos="547"/>
        </w:tabs>
        <w:spacing w:after="120"/>
        <w:rPr>
          <w:rFonts w:cstheme="minorHAnsi"/>
        </w:rPr>
      </w:pPr>
    </w:p>
    <w:p w14:paraId="2A924F35" w14:textId="77777777" w:rsidR="00BE7635" w:rsidRPr="00A55A51" w:rsidRDefault="00BE7635" w:rsidP="00BE7635">
      <w:pPr>
        <w:tabs>
          <w:tab w:val="left" w:pos="547"/>
        </w:tabs>
        <w:spacing w:after="120" w:line="360" w:lineRule="auto"/>
        <w:rPr>
          <w:rFonts w:cstheme="minorHAnsi"/>
        </w:rPr>
      </w:pPr>
      <w:r w:rsidRPr="00A55A51">
        <w:rPr>
          <w:rFonts w:cstheme="minorHAnsi"/>
        </w:rPr>
        <w:lastRenderedPageBreak/>
        <w:t>This formula has the useful feature of showing that the PSE must always lie between 0 and 1 for a positive rate of protection. The NRP, by contrast, can take any value between -100 percent and positive infinity. Rearranging equation (2) also allows us to move in the opposite direction to derive the NRP given the knowledge of the PSE:</w:t>
      </w:r>
    </w:p>
    <w:p w14:paraId="49F56B49" w14:textId="77777777" w:rsidR="00BE7635" w:rsidRPr="00A55A51" w:rsidRDefault="00BE7635" w:rsidP="00BE7635">
      <w:pPr>
        <w:tabs>
          <w:tab w:val="left" w:pos="547"/>
        </w:tabs>
        <w:spacing w:after="120"/>
        <w:rPr>
          <w:rFonts w:cstheme="minorHAnsi"/>
          <w:i/>
        </w:rPr>
      </w:pPr>
      <w:r w:rsidRPr="00A55A51">
        <w:rPr>
          <w:rFonts w:cstheme="minorHAnsi"/>
        </w:rPr>
        <w:t xml:space="preserve">(3)  </w:t>
      </w:r>
      <w:r w:rsidRPr="00A55A51">
        <w:rPr>
          <w:rFonts w:cstheme="minorHAnsi"/>
        </w:rPr>
        <w:tab/>
      </w:r>
      <w:r w:rsidRPr="00A55A51">
        <w:rPr>
          <w:rFonts w:cstheme="minorHAnsi"/>
        </w:rPr>
        <w:tab/>
      </w:r>
      <w:r w:rsidRPr="00A55A51">
        <w:rPr>
          <w:rFonts w:cstheme="minorHAnsi"/>
        </w:rPr>
        <w:tab/>
      </w:r>
      <w:r w:rsidRPr="00A55A51">
        <w:rPr>
          <w:rFonts w:cstheme="minorHAnsi"/>
          <w:i/>
        </w:rPr>
        <w:t xml:space="preserve">t = </w:t>
      </w:r>
      <m:oMath>
        <m:f>
          <m:fPr>
            <m:ctrlPr>
              <w:rPr>
                <w:rFonts w:ascii="Cambria Math" w:hAnsi="Cambria Math" w:cstheme="minorHAnsi"/>
                <w:i/>
              </w:rPr>
            </m:ctrlPr>
          </m:fPr>
          <m:num>
            <m:r>
              <w:rPr>
                <w:rFonts w:ascii="Cambria Math" w:hAnsi="Cambria Math" w:cstheme="minorHAnsi"/>
              </w:rPr>
              <m:t>PSE</m:t>
            </m:r>
          </m:num>
          <m:den>
            <m:r>
              <w:rPr>
                <w:rFonts w:ascii="Cambria Math" w:hAnsi="Cambria Math" w:cstheme="minorHAnsi"/>
              </w:rPr>
              <m:t>1-PSE</m:t>
            </m:r>
          </m:den>
        </m:f>
      </m:oMath>
    </w:p>
    <w:p w14:paraId="6721B0D9" w14:textId="77777777" w:rsidR="00BE7635" w:rsidRPr="00A55A51" w:rsidRDefault="00BE7635" w:rsidP="00BE7635">
      <w:pPr>
        <w:tabs>
          <w:tab w:val="left" w:pos="547"/>
        </w:tabs>
        <w:spacing w:after="120"/>
        <w:rPr>
          <w:rFonts w:cstheme="minorHAnsi"/>
        </w:rPr>
      </w:pPr>
    </w:p>
    <w:p w14:paraId="128A732A" w14:textId="77777777" w:rsidR="00BE7635" w:rsidRPr="00A55A51" w:rsidRDefault="00BE7635" w:rsidP="00BE7635">
      <w:pPr>
        <w:tabs>
          <w:tab w:val="left" w:pos="547"/>
        </w:tabs>
        <w:spacing w:after="120" w:line="360" w:lineRule="auto"/>
        <w:rPr>
          <w:rFonts w:cstheme="minorHAnsi"/>
        </w:rPr>
      </w:pPr>
      <w:r w:rsidRPr="00A55A51">
        <w:rPr>
          <w:rFonts w:cstheme="minorHAnsi"/>
        </w:rPr>
        <w:tab/>
        <w:t>OECD also reports a Nominal Protection Coefficient (NPC) that includes budgetary outlays and treats input markets differently. It is the Producer Price plus the value per unit of payments based on output relative to the Reference Price—payments that can be allocated to individual commodities.</w:t>
      </w:r>
    </w:p>
    <w:p w14:paraId="290F43A1" w14:textId="77777777" w:rsidR="00730368" w:rsidRPr="00A55A51" w:rsidRDefault="00730368" w:rsidP="00730368">
      <w:pPr>
        <w:tabs>
          <w:tab w:val="left" w:pos="547"/>
        </w:tabs>
        <w:spacing w:after="120" w:line="360" w:lineRule="auto"/>
        <w:rPr>
          <w:rFonts w:cstheme="minorHAnsi"/>
        </w:rPr>
      </w:pPr>
    </w:p>
    <w:p w14:paraId="6470CF2C" w14:textId="77777777" w:rsidR="00BE7635" w:rsidRPr="00A55A51" w:rsidRDefault="00BE7635" w:rsidP="00730368">
      <w:pPr>
        <w:spacing w:after="120"/>
        <w:rPr>
          <w:rFonts w:cstheme="minorHAnsi"/>
        </w:rPr>
      </w:pPr>
      <w:r w:rsidRPr="00A55A51">
        <w:rPr>
          <w:rFonts w:cstheme="minorHAnsi"/>
        </w:rPr>
        <w:t xml:space="preserve">(4) </w:t>
      </w:r>
      <w:r w:rsidRPr="00A55A51">
        <w:rPr>
          <w:rFonts w:cstheme="minorHAnsi"/>
          <w:i/>
        </w:rPr>
        <w:tab/>
        <w:t xml:space="preserve">NPC = </w:t>
      </w:r>
      <w:r w:rsidRPr="00A55A51">
        <w:rPr>
          <w:rFonts w:cstheme="minorHAnsi"/>
        </w:rPr>
        <w:t>(</w:t>
      </w:r>
      <w:r w:rsidRPr="00A55A51">
        <w:rPr>
          <w:rFonts w:cstheme="minorHAnsi"/>
          <w:i/>
        </w:rPr>
        <w:t xml:space="preserve">PP + </w:t>
      </w:r>
      <w:r w:rsidRPr="00A55A51">
        <w:rPr>
          <w:rFonts w:cstheme="minorHAnsi"/>
        </w:rPr>
        <w:t>(</w:t>
      </w:r>
      <w:r w:rsidRPr="00A55A51">
        <w:rPr>
          <w:rFonts w:cstheme="minorHAnsi"/>
          <w:i/>
        </w:rPr>
        <w:t>payments based on output or production quantity</w:t>
      </w:r>
      <w:r w:rsidRPr="00A55A51">
        <w:rPr>
          <w:rFonts w:cstheme="minorHAnsi"/>
        </w:rPr>
        <w:t xml:space="preserve">) / </w:t>
      </w:r>
      <w:r w:rsidRPr="00A55A51">
        <w:rPr>
          <w:rFonts w:cstheme="minorHAnsi"/>
          <w:i/>
        </w:rPr>
        <w:t>RP</w:t>
      </w:r>
      <w:r w:rsidRPr="00A55A51">
        <w:rPr>
          <w:rFonts w:cstheme="minorHAnsi"/>
        </w:rPr>
        <w:t>)</w:t>
      </w:r>
      <w:r w:rsidRPr="00A55A51">
        <w:rPr>
          <w:rFonts w:cstheme="minorHAnsi"/>
          <w:i/>
        </w:rPr>
        <w:t xml:space="preserve">   </w:t>
      </w:r>
    </w:p>
    <w:p w14:paraId="56C8BEAC" w14:textId="77777777" w:rsidR="00BE7635" w:rsidRPr="00A55A51" w:rsidRDefault="00BE7635" w:rsidP="00730368">
      <w:pPr>
        <w:tabs>
          <w:tab w:val="left" w:pos="547"/>
        </w:tabs>
        <w:spacing w:after="120" w:line="360" w:lineRule="auto"/>
        <w:rPr>
          <w:rFonts w:cstheme="minorHAnsi"/>
          <w:color w:val="000000"/>
        </w:rPr>
      </w:pPr>
      <w:r w:rsidRPr="00A55A51">
        <w:rPr>
          <w:rFonts w:cstheme="minorHAnsi"/>
          <w:color w:val="000000"/>
        </w:rPr>
        <w:tab/>
      </w:r>
    </w:p>
    <w:p w14:paraId="6E47B7B4" w14:textId="77777777" w:rsidR="00BE7635" w:rsidRPr="00A55A51" w:rsidRDefault="00BE7635" w:rsidP="00BE7635">
      <w:pPr>
        <w:tabs>
          <w:tab w:val="left" w:pos="547"/>
        </w:tabs>
        <w:spacing w:after="120" w:line="360" w:lineRule="auto"/>
        <w:rPr>
          <w:rFonts w:cstheme="minorHAnsi"/>
        </w:rPr>
      </w:pPr>
      <w:r w:rsidRPr="00A55A51">
        <w:rPr>
          <w:rFonts w:cstheme="minorHAnsi"/>
          <w:color w:val="000000"/>
        </w:rPr>
        <w:tab/>
        <w:t xml:space="preserve">Transfers counted in the PSE include market price support, budgetary payments, and revenue foregone by the government. The PSE has evolved from being just a measure of market price support to including many payments, including input subsidies—such as fertilizer subsidies—that cannot necessarily be identified with particular outputs. </w:t>
      </w:r>
      <w:r w:rsidRPr="00A55A51">
        <w:rPr>
          <w:rFonts w:cstheme="minorHAnsi"/>
        </w:rPr>
        <w:t xml:space="preserve">The Market Price Support (MPS) for a commodity is estimated either by adding together transfers to producers from consumers and taxpayers or by multiplying the quantity of production by the market price differential (the difference between farm and border price). The MPS component of PSE is similar to the NRP in that it also depends on price gaps. </w:t>
      </w:r>
    </w:p>
    <w:p w14:paraId="505F71D2" w14:textId="77777777" w:rsidR="00BE7635" w:rsidRDefault="00BE7635" w:rsidP="00BE7635">
      <w:pPr>
        <w:tabs>
          <w:tab w:val="left" w:pos="540"/>
        </w:tabs>
        <w:spacing w:after="120" w:line="360" w:lineRule="auto"/>
        <w:rPr>
          <w:rFonts w:cstheme="minorHAnsi"/>
        </w:rPr>
      </w:pPr>
      <w:r w:rsidRPr="00A55A51">
        <w:rPr>
          <w:rFonts w:cstheme="minorHAnsi"/>
        </w:rPr>
        <w:tab/>
        <w:t xml:space="preserve">FAO (MAFAP 2016) and </w:t>
      </w:r>
      <w:r w:rsidRPr="00A55A51">
        <w:rPr>
          <w:rFonts w:cstheme="minorHAnsi"/>
          <w:color w:val="000000"/>
        </w:rPr>
        <w:t>IDB-</w:t>
      </w:r>
      <w:proofErr w:type="spellStart"/>
      <w:r w:rsidRPr="00A55A51">
        <w:rPr>
          <w:rFonts w:cstheme="minorHAnsi"/>
          <w:color w:val="000000"/>
        </w:rPr>
        <w:t>Agrimonitor</w:t>
      </w:r>
      <w:proofErr w:type="spellEnd"/>
      <w:r w:rsidRPr="00A55A51">
        <w:rPr>
          <w:rFonts w:cstheme="minorHAnsi"/>
          <w:color w:val="000000"/>
        </w:rPr>
        <w:t xml:space="preserve"> (2016)</w:t>
      </w:r>
      <w:r w:rsidRPr="00A55A51">
        <w:rPr>
          <w:rFonts w:cstheme="minorHAnsi"/>
        </w:rPr>
        <w:t xml:space="preserve"> use the methodologies developed by OECD. All the measurement efforts undertaken by Consortium members include measures of Nominal Rates of Assistance (NRA) provided by non-border measures such as subsidies to output and inputs. Support provided by subsidies can readily be expressed in monetary terms. When subsidies are expressed relative to the value of output, they are included in a Single Commodity Transfer (SCT) that can be attributed to that commodity (OECD 2016, p117). Converting these measures to an NRA as a percentage of the value of output at world prices requires subtraction of the value of the SCT from the gross value of output in the denominator of the SCT—an operation analogous to that undertaken for the PSE in equation (3).</w:t>
      </w:r>
    </w:p>
    <w:p w14:paraId="675127F4" w14:textId="77777777" w:rsidR="00E7126F" w:rsidRPr="00A55A51" w:rsidRDefault="00E7126F" w:rsidP="002D0EAB">
      <w:pPr>
        <w:tabs>
          <w:tab w:val="left" w:pos="540"/>
        </w:tabs>
        <w:spacing w:after="0" w:line="360" w:lineRule="auto"/>
        <w:rPr>
          <w:rFonts w:cstheme="minorHAnsi"/>
        </w:rPr>
      </w:pPr>
    </w:p>
    <w:p w14:paraId="21D5E90A" w14:textId="77777777" w:rsidR="00696B34" w:rsidRPr="00A55A51" w:rsidRDefault="00696B34" w:rsidP="002D0EAB">
      <w:pPr>
        <w:tabs>
          <w:tab w:val="left" w:pos="540"/>
        </w:tabs>
        <w:spacing w:after="0"/>
        <w:rPr>
          <w:rFonts w:cstheme="minorHAnsi"/>
        </w:rPr>
      </w:pPr>
      <w:bookmarkStart w:id="6" w:name="_Toc520717039"/>
      <w:bookmarkStart w:id="7" w:name="_Toc520722500"/>
      <w:bookmarkStart w:id="8" w:name="_Toc8135087"/>
      <w:bookmarkStart w:id="9" w:name="_Toc8135708"/>
      <w:r w:rsidRPr="00A55A51">
        <w:rPr>
          <w:rFonts w:cstheme="minorHAnsi"/>
          <w:b/>
          <w:sz w:val="28"/>
          <w:szCs w:val="28"/>
        </w:rPr>
        <w:t>3. Consortium structure and</w:t>
      </w:r>
      <w:r w:rsidRPr="00A55A51">
        <w:rPr>
          <w:rFonts w:cstheme="minorHAnsi"/>
        </w:rPr>
        <w:t xml:space="preserve"> </w:t>
      </w:r>
      <w:r w:rsidRPr="00A55A51">
        <w:rPr>
          <w:rFonts w:cstheme="minorHAnsi"/>
          <w:b/>
          <w:sz w:val="28"/>
          <w:szCs w:val="28"/>
        </w:rPr>
        <w:t xml:space="preserve">database </w:t>
      </w:r>
    </w:p>
    <w:p w14:paraId="5FD89AF0" w14:textId="268D1015" w:rsidR="00696B34" w:rsidRPr="00A55A51" w:rsidRDefault="00696B34" w:rsidP="002D0EAB">
      <w:pPr>
        <w:tabs>
          <w:tab w:val="left" w:pos="540"/>
        </w:tabs>
        <w:spacing w:after="120" w:line="360" w:lineRule="auto"/>
        <w:rPr>
          <w:rFonts w:cstheme="minorHAnsi"/>
        </w:rPr>
      </w:pPr>
      <w:r w:rsidRPr="00A55A51">
        <w:rPr>
          <w:rFonts w:cstheme="minorHAnsi"/>
        </w:rPr>
        <w:tab/>
        <w:t xml:space="preserve">The objectives of AgIncentives Consortium are to bring together the findings from the organizations active in this field on a continuing basis in order to develop a global view of incentives, and to shine a light on incentives in some of the smaller economies where distortions to agricultural incentives </w:t>
      </w:r>
      <w:r w:rsidRPr="00A55A51">
        <w:rPr>
          <w:rFonts w:cstheme="minorHAnsi"/>
        </w:rPr>
        <w:lastRenderedPageBreak/>
        <w:t>have a particular impact on the poor.</w:t>
      </w:r>
      <w:r w:rsidRPr="00A55A51">
        <w:rPr>
          <w:rFonts w:cstheme="minorHAnsi"/>
        </w:rPr>
        <w:tab/>
        <w:t xml:space="preserve">The AgIncentives Consortium achieves these objectives through creation of a community of practice, and harmonization and consolidation of a database. </w:t>
      </w:r>
    </w:p>
    <w:p w14:paraId="13BCCC19" w14:textId="77777777" w:rsidR="00696B34" w:rsidRPr="00A55A51" w:rsidRDefault="00696B34" w:rsidP="00696B34">
      <w:pPr>
        <w:tabs>
          <w:tab w:val="left" w:pos="547"/>
        </w:tabs>
        <w:spacing w:after="120" w:line="360" w:lineRule="auto"/>
        <w:rPr>
          <w:rFonts w:cstheme="minorHAnsi"/>
        </w:rPr>
      </w:pPr>
      <w:r w:rsidRPr="00A55A51">
        <w:rPr>
          <w:rFonts w:cstheme="minorHAnsi"/>
        </w:rPr>
        <w:tab/>
        <w:t xml:space="preserve">The initial focus of the Consortium was on price distortions. In the first phase of the Consortium, we provided only Nominal Rate of Protection (NRP), based on Krueger, Schiff, and Valdes (1988). As noted above, the NRP is based on the ratio of the price gap and the observed reference price measured at the same point in the value chain. We now provide measures of three types of budget support—to outputs, inputs and factors—and a composite measure, the NRA, including both market price support and total budget support.  We first consider the NRP measures and then the NRA measures. </w:t>
      </w:r>
    </w:p>
    <w:p w14:paraId="702D30D4" w14:textId="77777777" w:rsidR="00730368" w:rsidRPr="00A55A51" w:rsidRDefault="00730368" w:rsidP="002D0EAB">
      <w:pPr>
        <w:tabs>
          <w:tab w:val="left" w:pos="540"/>
        </w:tabs>
        <w:spacing w:after="0" w:line="360" w:lineRule="auto"/>
        <w:rPr>
          <w:rFonts w:cstheme="minorHAnsi"/>
          <w:b/>
          <w:bCs/>
        </w:rPr>
      </w:pPr>
    </w:p>
    <w:p w14:paraId="7586E523" w14:textId="17A00003" w:rsidR="00696B34" w:rsidRPr="00A55A51" w:rsidRDefault="00696B34" w:rsidP="00696B34">
      <w:pPr>
        <w:tabs>
          <w:tab w:val="left" w:pos="540"/>
        </w:tabs>
        <w:spacing w:after="120" w:line="360" w:lineRule="auto"/>
        <w:rPr>
          <w:rFonts w:cstheme="minorHAnsi"/>
          <w:b/>
          <w:bCs/>
        </w:rPr>
      </w:pPr>
      <w:r w:rsidRPr="00A55A51">
        <w:rPr>
          <w:rFonts w:cstheme="minorHAnsi"/>
          <w:b/>
          <w:bCs/>
        </w:rPr>
        <w:t>Nominal Rate of Protection (NRP)</w:t>
      </w:r>
    </w:p>
    <w:p w14:paraId="53116B45" w14:textId="77777777" w:rsidR="00696B34" w:rsidRPr="00A55A51" w:rsidRDefault="00696B34" w:rsidP="00696B34">
      <w:pPr>
        <w:tabs>
          <w:tab w:val="left" w:pos="540"/>
        </w:tabs>
        <w:spacing w:after="120" w:line="360" w:lineRule="auto"/>
        <w:rPr>
          <w:rFonts w:cstheme="minorHAnsi"/>
        </w:rPr>
      </w:pPr>
      <w:r w:rsidRPr="00A55A51">
        <w:rPr>
          <w:rFonts w:cstheme="minorHAnsi"/>
        </w:rPr>
        <w:t>As can be seen from Table 1, the IOs publish measurements of distortions with some overlap across geographical and sectoral coverage and time span. In particular, the FAO and IADB add coverage of a number of countries in Africa and in the Americas where own-country incentives have important implications for poor people. The goals of the Consortium, therefore, include maintaining the mandate and the independency of each IO, and creating a collaborative approach for database, with a clear recognition of the intellectual property rights of each partner.</w:t>
      </w:r>
    </w:p>
    <w:p w14:paraId="50702609" w14:textId="2305C019" w:rsidR="00696B34" w:rsidRPr="0027774F" w:rsidRDefault="0027774F" w:rsidP="0027774F">
      <w:pPr>
        <w:pStyle w:val="Caption"/>
        <w:rPr>
          <w:rFonts w:asciiTheme="minorHAnsi" w:hAnsiTheme="minorHAnsi" w:cstheme="minorHAnsi"/>
          <w:iCs w:val="0"/>
        </w:rPr>
      </w:pPr>
      <w:bookmarkStart w:id="10" w:name="_Toc195128496"/>
      <w:r>
        <w:t xml:space="preserve">Table </w:t>
      </w:r>
      <w:fldSimple w:instr=" SEQ Table \* ARABIC ">
        <w:r>
          <w:rPr>
            <w:noProof/>
          </w:rPr>
          <w:t>1</w:t>
        </w:r>
      </w:fldSimple>
      <w:r>
        <w:t>:</w:t>
      </w:r>
      <w:r w:rsidR="00696B34" w:rsidRPr="00A55A51">
        <w:rPr>
          <w:rFonts w:asciiTheme="minorHAnsi" w:hAnsiTheme="minorHAnsi" w:cstheme="minorHAnsi"/>
        </w:rPr>
        <w:t xml:space="preserve"> </w:t>
      </w:r>
      <w:r w:rsidR="00696B34" w:rsidRPr="0027774F">
        <w:rPr>
          <w:rFonts w:asciiTheme="minorHAnsi" w:hAnsiTheme="minorHAnsi" w:cstheme="minorHAnsi"/>
          <w:iCs w:val="0"/>
        </w:rPr>
        <w:t>Country and commodity coverage by IOs</w:t>
      </w:r>
      <w:bookmarkEnd w:id="10"/>
      <w:r w:rsidR="00696B34" w:rsidRPr="0027774F">
        <w:rPr>
          <w:rFonts w:asciiTheme="minorHAnsi" w:hAnsiTheme="minorHAnsi" w:cstheme="minorHAnsi"/>
          <w:iCs w:val="0"/>
        </w:rPr>
        <w:t xml:space="preserve"> </w:t>
      </w: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2284"/>
        <w:gridCol w:w="1350"/>
        <w:gridCol w:w="1551"/>
        <w:gridCol w:w="2589"/>
      </w:tblGrid>
      <w:tr w:rsidR="00696B34" w:rsidRPr="00A55A51" w14:paraId="2B4C1515" w14:textId="77777777" w:rsidTr="00FE4390">
        <w:trPr>
          <w:trHeight w:val="300"/>
        </w:trPr>
        <w:tc>
          <w:tcPr>
            <w:tcW w:w="1923" w:type="dxa"/>
            <w:shd w:val="clear" w:color="auto" w:fill="auto"/>
            <w:noWrap/>
            <w:vAlign w:val="center"/>
            <w:hideMark/>
          </w:tcPr>
          <w:p w14:paraId="79700082" w14:textId="77777777" w:rsidR="00696B34" w:rsidRPr="00A55A51" w:rsidRDefault="00696B34" w:rsidP="00FE4390">
            <w:pPr>
              <w:rPr>
                <w:rFonts w:cstheme="minorHAnsi"/>
                <w:b/>
                <w:bCs/>
              </w:rPr>
            </w:pPr>
            <w:r w:rsidRPr="00A55A51">
              <w:rPr>
                <w:rFonts w:cstheme="minorHAnsi"/>
                <w:b/>
                <w:bCs/>
              </w:rPr>
              <w:t> International Organization</w:t>
            </w:r>
          </w:p>
        </w:tc>
        <w:tc>
          <w:tcPr>
            <w:tcW w:w="2284" w:type="dxa"/>
            <w:shd w:val="clear" w:color="auto" w:fill="auto"/>
            <w:noWrap/>
            <w:vAlign w:val="center"/>
            <w:hideMark/>
          </w:tcPr>
          <w:p w14:paraId="58D061E1" w14:textId="77777777" w:rsidR="00696B34" w:rsidRPr="00A55A51" w:rsidRDefault="00696B34" w:rsidP="00FE4390">
            <w:pPr>
              <w:rPr>
                <w:rFonts w:cstheme="minorHAnsi"/>
                <w:b/>
                <w:bCs/>
              </w:rPr>
            </w:pPr>
            <w:r w:rsidRPr="00A55A51">
              <w:rPr>
                <w:rFonts w:cstheme="minorHAnsi"/>
                <w:b/>
                <w:bCs/>
              </w:rPr>
              <w:t>Economic Clusters Covered</w:t>
            </w:r>
          </w:p>
        </w:tc>
        <w:tc>
          <w:tcPr>
            <w:tcW w:w="1350" w:type="dxa"/>
            <w:shd w:val="clear" w:color="auto" w:fill="auto"/>
            <w:noWrap/>
            <w:vAlign w:val="center"/>
            <w:hideMark/>
          </w:tcPr>
          <w:p w14:paraId="4D47C8E2" w14:textId="77777777" w:rsidR="00696B34" w:rsidRPr="00A55A51" w:rsidRDefault="00696B34" w:rsidP="00FE4390">
            <w:pPr>
              <w:rPr>
                <w:rFonts w:cstheme="minorHAnsi"/>
                <w:b/>
                <w:bCs/>
              </w:rPr>
            </w:pPr>
            <w:r w:rsidRPr="00A55A51">
              <w:rPr>
                <w:rFonts w:cstheme="minorHAnsi"/>
                <w:b/>
                <w:bCs/>
              </w:rPr>
              <w:t>Number of economies</w:t>
            </w:r>
          </w:p>
        </w:tc>
        <w:tc>
          <w:tcPr>
            <w:tcW w:w="1551" w:type="dxa"/>
            <w:shd w:val="clear" w:color="auto" w:fill="auto"/>
            <w:noWrap/>
            <w:vAlign w:val="center"/>
            <w:hideMark/>
          </w:tcPr>
          <w:p w14:paraId="55F25F44" w14:textId="77777777" w:rsidR="00696B34" w:rsidRPr="00A55A51" w:rsidRDefault="00696B34" w:rsidP="00FE4390">
            <w:pPr>
              <w:rPr>
                <w:rFonts w:cstheme="minorHAnsi"/>
                <w:b/>
                <w:bCs/>
              </w:rPr>
            </w:pPr>
            <w:r w:rsidRPr="00A55A51">
              <w:rPr>
                <w:rFonts w:cstheme="minorHAnsi"/>
                <w:b/>
                <w:bCs/>
              </w:rPr>
              <w:t>Time Period</w:t>
            </w:r>
          </w:p>
        </w:tc>
        <w:tc>
          <w:tcPr>
            <w:tcW w:w="2589" w:type="dxa"/>
            <w:shd w:val="clear" w:color="auto" w:fill="auto"/>
            <w:noWrap/>
            <w:vAlign w:val="center"/>
            <w:hideMark/>
          </w:tcPr>
          <w:p w14:paraId="4E3D9363" w14:textId="77777777" w:rsidR="00696B34" w:rsidRPr="00A55A51" w:rsidRDefault="00696B34" w:rsidP="00FE4390">
            <w:pPr>
              <w:rPr>
                <w:rFonts w:cstheme="minorHAnsi"/>
                <w:b/>
                <w:bCs/>
              </w:rPr>
            </w:pPr>
            <w:r w:rsidRPr="00A55A51">
              <w:rPr>
                <w:rFonts w:cstheme="minorHAnsi"/>
                <w:b/>
                <w:bCs/>
              </w:rPr>
              <w:t>Total Commodities</w:t>
            </w:r>
          </w:p>
        </w:tc>
      </w:tr>
      <w:tr w:rsidR="00696B34" w:rsidRPr="00A55A51" w14:paraId="2AF15ED0" w14:textId="77777777" w:rsidTr="00FE4390">
        <w:trPr>
          <w:trHeight w:val="300"/>
        </w:trPr>
        <w:tc>
          <w:tcPr>
            <w:tcW w:w="1923" w:type="dxa"/>
            <w:shd w:val="clear" w:color="auto" w:fill="auto"/>
            <w:noWrap/>
            <w:vAlign w:val="center"/>
            <w:hideMark/>
          </w:tcPr>
          <w:p w14:paraId="20D1917C" w14:textId="77777777" w:rsidR="00696B34" w:rsidRPr="00A55A51" w:rsidRDefault="00696B34" w:rsidP="00FE4390">
            <w:pPr>
              <w:rPr>
                <w:rFonts w:cstheme="minorHAnsi"/>
                <w:bCs/>
              </w:rPr>
            </w:pPr>
            <w:r w:rsidRPr="00A55A51">
              <w:rPr>
                <w:rFonts w:cstheme="minorHAnsi"/>
                <w:bCs/>
              </w:rPr>
              <w:t>OECD</w:t>
            </w:r>
          </w:p>
        </w:tc>
        <w:tc>
          <w:tcPr>
            <w:tcW w:w="2284" w:type="dxa"/>
            <w:shd w:val="clear" w:color="auto" w:fill="auto"/>
            <w:noWrap/>
            <w:vAlign w:val="center"/>
            <w:hideMark/>
          </w:tcPr>
          <w:p w14:paraId="22C70722" w14:textId="77777777" w:rsidR="00696B34" w:rsidRPr="00A55A51" w:rsidRDefault="00696B34" w:rsidP="00FE4390">
            <w:pPr>
              <w:rPr>
                <w:rFonts w:cstheme="minorHAnsi"/>
              </w:rPr>
            </w:pPr>
            <w:r w:rsidRPr="00A55A51">
              <w:rPr>
                <w:rFonts w:cstheme="minorHAnsi"/>
              </w:rPr>
              <w:t>OECD + Emerging</w:t>
            </w:r>
          </w:p>
        </w:tc>
        <w:tc>
          <w:tcPr>
            <w:tcW w:w="1350" w:type="dxa"/>
            <w:shd w:val="clear" w:color="auto" w:fill="auto"/>
            <w:noWrap/>
            <w:vAlign w:val="center"/>
            <w:hideMark/>
          </w:tcPr>
          <w:p w14:paraId="486968F6" w14:textId="77777777" w:rsidR="00696B34" w:rsidRPr="00A55A51" w:rsidRDefault="00696B34" w:rsidP="00FE4390">
            <w:pPr>
              <w:jc w:val="center"/>
              <w:rPr>
                <w:rFonts w:cstheme="minorHAnsi"/>
              </w:rPr>
            </w:pPr>
            <w:r w:rsidRPr="00A55A51">
              <w:rPr>
                <w:rFonts w:cstheme="minorHAnsi"/>
              </w:rPr>
              <w:t>28*</w:t>
            </w:r>
          </w:p>
        </w:tc>
        <w:tc>
          <w:tcPr>
            <w:tcW w:w="1551" w:type="dxa"/>
            <w:shd w:val="clear" w:color="auto" w:fill="auto"/>
            <w:noWrap/>
            <w:vAlign w:val="center"/>
            <w:hideMark/>
          </w:tcPr>
          <w:p w14:paraId="0EEC7565" w14:textId="77777777" w:rsidR="00696B34" w:rsidRPr="00A55A51" w:rsidRDefault="00696B34" w:rsidP="00FE4390">
            <w:pPr>
              <w:jc w:val="center"/>
              <w:rPr>
                <w:rFonts w:cstheme="minorHAnsi"/>
              </w:rPr>
            </w:pPr>
            <w:r w:rsidRPr="00A55A51">
              <w:rPr>
                <w:rFonts w:cstheme="minorHAnsi"/>
              </w:rPr>
              <w:t>1986-2023</w:t>
            </w:r>
          </w:p>
        </w:tc>
        <w:tc>
          <w:tcPr>
            <w:tcW w:w="2589" w:type="dxa"/>
            <w:shd w:val="clear" w:color="auto" w:fill="auto"/>
            <w:noWrap/>
            <w:vAlign w:val="center"/>
            <w:hideMark/>
          </w:tcPr>
          <w:p w14:paraId="206056DF" w14:textId="77777777" w:rsidR="00696B34" w:rsidRPr="00A55A51" w:rsidRDefault="00696B34" w:rsidP="00FE4390">
            <w:pPr>
              <w:rPr>
                <w:rFonts w:cstheme="minorHAnsi"/>
              </w:rPr>
            </w:pPr>
            <w:r w:rsidRPr="00A55A51">
              <w:rPr>
                <w:rFonts w:cstheme="minorHAnsi"/>
              </w:rPr>
              <w:t>67 individual, Market Price Support (MPS), Total Support</w:t>
            </w:r>
          </w:p>
        </w:tc>
      </w:tr>
      <w:tr w:rsidR="00696B34" w:rsidRPr="00A55A51" w14:paraId="08FEE53F" w14:textId="77777777" w:rsidTr="00FE4390">
        <w:trPr>
          <w:trHeight w:val="300"/>
        </w:trPr>
        <w:tc>
          <w:tcPr>
            <w:tcW w:w="1923" w:type="dxa"/>
            <w:shd w:val="clear" w:color="auto" w:fill="auto"/>
            <w:noWrap/>
            <w:vAlign w:val="center"/>
            <w:hideMark/>
          </w:tcPr>
          <w:p w14:paraId="08CF1514" w14:textId="77777777" w:rsidR="00696B34" w:rsidRPr="00A55A51" w:rsidRDefault="00696B34" w:rsidP="00FE4390">
            <w:pPr>
              <w:rPr>
                <w:rFonts w:cstheme="minorHAnsi"/>
                <w:bCs/>
              </w:rPr>
            </w:pPr>
            <w:r w:rsidRPr="00A55A51">
              <w:rPr>
                <w:rFonts w:cstheme="minorHAnsi"/>
                <w:bCs/>
              </w:rPr>
              <w:t>FAO</w:t>
            </w:r>
          </w:p>
        </w:tc>
        <w:tc>
          <w:tcPr>
            <w:tcW w:w="2284" w:type="dxa"/>
            <w:shd w:val="clear" w:color="auto" w:fill="auto"/>
            <w:noWrap/>
            <w:vAlign w:val="center"/>
            <w:hideMark/>
          </w:tcPr>
          <w:p w14:paraId="0B6846A2" w14:textId="77777777" w:rsidR="00696B34" w:rsidRPr="00A55A51" w:rsidRDefault="00696B34" w:rsidP="00FE4390">
            <w:pPr>
              <w:rPr>
                <w:rFonts w:cstheme="minorHAnsi"/>
              </w:rPr>
            </w:pPr>
            <w:r w:rsidRPr="00A55A51">
              <w:rPr>
                <w:rFonts w:cstheme="minorHAnsi"/>
              </w:rPr>
              <w:t>Selected African countries and Bangladesh from South Asia</w:t>
            </w:r>
          </w:p>
        </w:tc>
        <w:tc>
          <w:tcPr>
            <w:tcW w:w="1350" w:type="dxa"/>
            <w:shd w:val="clear" w:color="auto" w:fill="auto"/>
            <w:noWrap/>
            <w:vAlign w:val="center"/>
            <w:hideMark/>
          </w:tcPr>
          <w:p w14:paraId="3A6A6854" w14:textId="77777777" w:rsidR="00696B34" w:rsidRPr="00A55A51" w:rsidRDefault="00696B34" w:rsidP="00FE4390">
            <w:pPr>
              <w:jc w:val="center"/>
              <w:rPr>
                <w:rFonts w:cstheme="minorHAnsi"/>
              </w:rPr>
            </w:pPr>
            <w:r w:rsidRPr="00A55A51">
              <w:rPr>
                <w:rFonts w:cstheme="minorHAnsi"/>
              </w:rPr>
              <w:t>23</w:t>
            </w:r>
          </w:p>
        </w:tc>
        <w:tc>
          <w:tcPr>
            <w:tcW w:w="1551" w:type="dxa"/>
            <w:shd w:val="clear" w:color="auto" w:fill="auto"/>
            <w:noWrap/>
            <w:vAlign w:val="center"/>
            <w:hideMark/>
          </w:tcPr>
          <w:p w14:paraId="1F313031" w14:textId="77777777" w:rsidR="00696B34" w:rsidRPr="00A55A51" w:rsidRDefault="00696B34" w:rsidP="00FE4390">
            <w:pPr>
              <w:jc w:val="center"/>
              <w:rPr>
                <w:rFonts w:cstheme="minorHAnsi"/>
              </w:rPr>
            </w:pPr>
            <w:r w:rsidRPr="00A55A51">
              <w:rPr>
                <w:rFonts w:cstheme="minorHAnsi"/>
              </w:rPr>
              <w:t>2005-2023</w:t>
            </w:r>
          </w:p>
        </w:tc>
        <w:tc>
          <w:tcPr>
            <w:tcW w:w="2589" w:type="dxa"/>
            <w:shd w:val="clear" w:color="auto" w:fill="auto"/>
            <w:noWrap/>
            <w:vAlign w:val="center"/>
            <w:hideMark/>
          </w:tcPr>
          <w:p w14:paraId="3D127AD4" w14:textId="77777777" w:rsidR="00696B34" w:rsidRPr="00A55A51" w:rsidRDefault="00696B34" w:rsidP="00FE4390">
            <w:pPr>
              <w:rPr>
                <w:rFonts w:cstheme="minorHAnsi"/>
              </w:rPr>
            </w:pPr>
            <w:r w:rsidRPr="00A55A51">
              <w:rPr>
                <w:rFonts w:cstheme="minorHAnsi"/>
              </w:rPr>
              <w:t>41 individual</w:t>
            </w:r>
          </w:p>
        </w:tc>
      </w:tr>
      <w:tr w:rsidR="00696B34" w:rsidRPr="00A55A51" w14:paraId="50A125B1" w14:textId="77777777" w:rsidTr="00FE4390">
        <w:trPr>
          <w:trHeight w:val="300"/>
        </w:trPr>
        <w:tc>
          <w:tcPr>
            <w:tcW w:w="1923" w:type="dxa"/>
            <w:shd w:val="clear" w:color="auto" w:fill="auto"/>
            <w:noWrap/>
            <w:vAlign w:val="center"/>
            <w:hideMark/>
          </w:tcPr>
          <w:p w14:paraId="35AD4747" w14:textId="77777777" w:rsidR="00696B34" w:rsidRPr="00A55A51" w:rsidRDefault="00696B34" w:rsidP="00FE4390">
            <w:pPr>
              <w:rPr>
                <w:rFonts w:cstheme="minorHAnsi"/>
                <w:bCs/>
              </w:rPr>
            </w:pPr>
            <w:r w:rsidRPr="00A55A51">
              <w:rPr>
                <w:rFonts w:cstheme="minorHAnsi"/>
                <w:bCs/>
              </w:rPr>
              <w:t>IDB-AGRIMONITOR</w:t>
            </w:r>
          </w:p>
        </w:tc>
        <w:tc>
          <w:tcPr>
            <w:tcW w:w="2284" w:type="dxa"/>
            <w:shd w:val="clear" w:color="auto" w:fill="auto"/>
            <w:noWrap/>
            <w:vAlign w:val="center"/>
            <w:hideMark/>
          </w:tcPr>
          <w:p w14:paraId="53943AC5" w14:textId="77777777" w:rsidR="00696B34" w:rsidRPr="00A55A51" w:rsidRDefault="00696B34" w:rsidP="00FE4390">
            <w:pPr>
              <w:rPr>
                <w:rFonts w:cstheme="minorHAnsi"/>
              </w:rPr>
            </w:pPr>
            <w:r w:rsidRPr="00A55A51">
              <w:rPr>
                <w:rFonts w:cstheme="minorHAnsi"/>
              </w:rPr>
              <w:t>Latin America and Caribbean</w:t>
            </w:r>
          </w:p>
        </w:tc>
        <w:tc>
          <w:tcPr>
            <w:tcW w:w="1350" w:type="dxa"/>
            <w:shd w:val="clear" w:color="auto" w:fill="auto"/>
            <w:noWrap/>
            <w:vAlign w:val="center"/>
            <w:hideMark/>
          </w:tcPr>
          <w:p w14:paraId="789F7872" w14:textId="77777777" w:rsidR="00696B34" w:rsidRPr="00A55A51" w:rsidRDefault="00696B34" w:rsidP="00FE4390">
            <w:pPr>
              <w:jc w:val="center"/>
              <w:rPr>
                <w:rFonts w:cstheme="minorHAnsi"/>
              </w:rPr>
            </w:pPr>
            <w:r w:rsidRPr="00A55A51">
              <w:rPr>
                <w:rFonts w:cstheme="minorHAnsi"/>
              </w:rPr>
              <w:t>19</w:t>
            </w:r>
          </w:p>
        </w:tc>
        <w:tc>
          <w:tcPr>
            <w:tcW w:w="1551" w:type="dxa"/>
            <w:shd w:val="clear" w:color="auto" w:fill="auto"/>
            <w:noWrap/>
            <w:vAlign w:val="center"/>
            <w:hideMark/>
          </w:tcPr>
          <w:p w14:paraId="18DCA84D" w14:textId="77777777" w:rsidR="00696B34" w:rsidRPr="00A55A51" w:rsidRDefault="00696B34" w:rsidP="00FE4390">
            <w:pPr>
              <w:jc w:val="center"/>
              <w:rPr>
                <w:rFonts w:cstheme="minorHAnsi"/>
              </w:rPr>
            </w:pPr>
            <w:r w:rsidRPr="00A55A51">
              <w:rPr>
                <w:rFonts w:cstheme="minorHAnsi"/>
              </w:rPr>
              <w:t>2004-2023</w:t>
            </w:r>
          </w:p>
        </w:tc>
        <w:tc>
          <w:tcPr>
            <w:tcW w:w="2589" w:type="dxa"/>
            <w:shd w:val="clear" w:color="auto" w:fill="auto"/>
            <w:noWrap/>
            <w:vAlign w:val="center"/>
            <w:hideMark/>
          </w:tcPr>
          <w:p w14:paraId="64314140" w14:textId="77777777" w:rsidR="00696B34" w:rsidRPr="00A55A51" w:rsidRDefault="00696B34" w:rsidP="00FE4390">
            <w:pPr>
              <w:rPr>
                <w:rFonts w:cstheme="minorHAnsi"/>
              </w:rPr>
            </w:pPr>
            <w:r w:rsidRPr="00A55A51">
              <w:rPr>
                <w:rFonts w:cstheme="minorHAnsi"/>
              </w:rPr>
              <w:t>42 individual, TOTAL</w:t>
            </w:r>
          </w:p>
        </w:tc>
      </w:tr>
      <w:tr w:rsidR="00696B34" w:rsidRPr="00A55A51" w14:paraId="7F8148E2" w14:textId="77777777" w:rsidTr="00FE4390">
        <w:trPr>
          <w:trHeight w:val="300"/>
        </w:trPr>
        <w:tc>
          <w:tcPr>
            <w:tcW w:w="1923" w:type="dxa"/>
            <w:shd w:val="clear" w:color="auto" w:fill="auto"/>
            <w:noWrap/>
            <w:vAlign w:val="center"/>
          </w:tcPr>
          <w:p w14:paraId="512FD14A" w14:textId="77777777" w:rsidR="00696B34" w:rsidRPr="00A55A51" w:rsidRDefault="00696B34" w:rsidP="00FE4390">
            <w:pPr>
              <w:rPr>
                <w:rFonts w:cstheme="minorHAnsi"/>
                <w:bCs/>
              </w:rPr>
            </w:pPr>
            <w:r w:rsidRPr="00A55A51">
              <w:rPr>
                <w:rFonts w:cstheme="minorHAnsi"/>
                <w:bCs/>
              </w:rPr>
              <w:t>World Bank</w:t>
            </w:r>
          </w:p>
        </w:tc>
        <w:tc>
          <w:tcPr>
            <w:tcW w:w="2284" w:type="dxa"/>
            <w:shd w:val="clear" w:color="auto" w:fill="auto"/>
            <w:noWrap/>
            <w:vAlign w:val="center"/>
          </w:tcPr>
          <w:p w14:paraId="327CE37E" w14:textId="77777777" w:rsidR="00696B34" w:rsidRPr="00A55A51" w:rsidRDefault="00696B34" w:rsidP="00FE4390">
            <w:pPr>
              <w:rPr>
                <w:rFonts w:cstheme="minorHAnsi"/>
              </w:rPr>
            </w:pPr>
            <w:r w:rsidRPr="00A55A51">
              <w:rPr>
                <w:rFonts w:cstheme="minorHAnsi"/>
              </w:rPr>
              <w:t>South Asia</w:t>
            </w:r>
          </w:p>
        </w:tc>
        <w:tc>
          <w:tcPr>
            <w:tcW w:w="1350" w:type="dxa"/>
            <w:shd w:val="clear" w:color="auto" w:fill="auto"/>
            <w:noWrap/>
            <w:vAlign w:val="center"/>
          </w:tcPr>
          <w:p w14:paraId="7C3029EB" w14:textId="77777777" w:rsidR="00696B34" w:rsidRPr="00A55A51" w:rsidRDefault="00696B34" w:rsidP="00FE4390">
            <w:pPr>
              <w:jc w:val="center"/>
              <w:rPr>
                <w:rFonts w:cstheme="minorHAnsi"/>
              </w:rPr>
            </w:pPr>
            <w:r w:rsidRPr="00A55A51">
              <w:rPr>
                <w:rFonts w:cstheme="minorHAnsi"/>
              </w:rPr>
              <w:t>2</w:t>
            </w:r>
          </w:p>
        </w:tc>
        <w:tc>
          <w:tcPr>
            <w:tcW w:w="1551" w:type="dxa"/>
            <w:shd w:val="clear" w:color="auto" w:fill="auto"/>
            <w:noWrap/>
            <w:vAlign w:val="center"/>
          </w:tcPr>
          <w:p w14:paraId="5EC511B5" w14:textId="77777777" w:rsidR="00696B34" w:rsidRPr="00A55A51" w:rsidRDefault="00696B34" w:rsidP="00FE4390">
            <w:pPr>
              <w:jc w:val="center"/>
              <w:rPr>
                <w:rFonts w:cstheme="minorHAnsi"/>
              </w:rPr>
            </w:pPr>
            <w:r w:rsidRPr="00A55A51">
              <w:rPr>
                <w:rFonts w:cstheme="minorHAnsi"/>
              </w:rPr>
              <w:t>2004-2014</w:t>
            </w:r>
          </w:p>
        </w:tc>
        <w:tc>
          <w:tcPr>
            <w:tcW w:w="2589" w:type="dxa"/>
            <w:shd w:val="clear" w:color="auto" w:fill="auto"/>
            <w:noWrap/>
            <w:vAlign w:val="center"/>
          </w:tcPr>
          <w:p w14:paraId="494537FA" w14:textId="77777777" w:rsidR="00696B34" w:rsidRPr="00A55A51" w:rsidRDefault="00696B34" w:rsidP="00FE4390">
            <w:pPr>
              <w:rPr>
                <w:rFonts w:cstheme="minorHAnsi"/>
              </w:rPr>
            </w:pPr>
            <w:r w:rsidRPr="00A55A51">
              <w:rPr>
                <w:rFonts w:cstheme="minorHAnsi"/>
              </w:rPr>
              <w:t>14 individual</w:t>
            </w:r>
          </w:p>
        </w:tc>
      </w:tr>
    </w:tbl>
    <w:p w14:paraId="1DD608DB" w14:textId="77777777" w:rsidR="00696B34" w:rsidRPr="00A55A51" w:rsidRDefault="00696B34" w:rsidP="005E534F">
      <w:pPr>
        <w:spacing w:after="0"/>
        <w:rPr>
          <w:rFonts w:cstheme="minorHAnsi"/>
        </w:rPr>
      </w:pPr>
      <w:r w:rsidRPr="00A55A51">
        <w:rPr>
          <w:rFonts w:cstheme="minorHAnsi"/>
        </w:rPr>
        <w:t>Note: Not all countries report all data for all commodities listed and all years. * Including the EU27 as one.</w:t>
      </w:r>
    </w:p>
    <w:p w14:paraId="371E6BB0" w14:textId="77777777" w:rsidR="00696B34" w:rsidRPr="00A55A51" w:rsidRDefault="00696B34" w:rsidP="005E534F">
      <w:pPr>
        <w:tabs>
          <w:tab w:val="left" w:pos="547"/>
        </w:tabs>
        <w:spacing w:after="0"/>
        <w:rPr>
          <w:rFonts w:cstheme="minorHAnsi"/>
        </w:rPr>
      </w:pPr>
      <w:r w:rsidRPr="00A55A51">
        <w:rPr>
          <w:rFonts w:cstheme="minorHAnsi"/>
        </w:rPr>
        <w:t>Source: AgIncentives database</w:t>
      </w:r>
    </w:p>
    <w:p w14:paraId="25160645" w14:textId="77777777" w:rsidR="00696B34" w:rsidRPr="00A55A51" w:rsidRDefault="00696B34" w:rsidP="00696B34">
      <w:pPr>
        <w:tabs>
          <w:tab w:val="left" w:pos="547"/>
        </w:tabs>
        <w:spacing w:after="120" w:line="360" w:lineRule="auto"/>
        <w:rPr>
          <w:rFonts w:cstheme="minorHAnsi"/>
        </w:rPr>
      </w:pPr>
    </w:p>
    <w:p w14:paraId="58FB5BE8" w14:textId="77777777" w:rsidR="00696B34" w:rsidRPr="00A55A51" w:rsidRDefault="00696B34" w:rsidP="00E7126F">
      <w:pPr>
        <w:tabs>
          <w:tab w:val="left" w:pos="547"/>
        </w:tabs>
        <w:spacing w:after="0" w:line="360" w:lineRule="auto"/>
        <w:rPr>
          <w:rFonts w:cstheme="minorHAnsi"/>
          <w:bCs/>
        </w:rPr>
      </w:pPr>
      <w:r w:rsidRPr="00A55A51">
        <w:rPr>
          <w:rFonts w:cstheme="minorHAnsi"/>
          <w:color w:val="000000"/>
        </w:rPr>
        <w:lastRenderedPageBreak/>
        <w:tab/>
        <w:t>We use the method for Direct NRP from Krueger, Schiff, Valdes (1988) to create a consolidated NRP with the underlying price metadata from IOs.</w:t>
      </w:r>
      <w:r w:rsidRPr="00A55A51">
        <w:rPr>
          <w:rFonts w:cstheme="minorHAnsi"/>
          <w:bCs/>
        </w:rPr>
        <w:t xml:space="preserve"> We also compute average NRPs for the agricultural sector of individual countries, </w:t>
      </w:r>
      <w:proofErr w:type="spellStart"/>
      <w:r w:rsidRPr="00A55A51">
        <w:rPr>
          <w:rFonts w:cstheme="minorHAnsi"/>
          <w:bCs/>
        </w:rPr>
        <w:t>NRP.</w:t>
      </w:r>
      <w:r w:rsidRPr="00A55A51">
        <w:rPr>
          <w:rFonts w:cstheme="minorHAnsi"/>
          <w:bCs/>
          <w:vertAlign w:val="subscript"/>
        </w:rPr>
        <w:t>i</w:t>
      </w:r>
      <w:proofErr w:type="spellEnd"/>
      <w:r w:rsidRPr="00A55A51">
        <w:rPr>
          <w:rFonts w:cstheme="minorHAnsi"/>
          <w:bCs/>
        </w:rPr>
        <w:t xml:space="preserve">, a global NRP for commodities, </w:t>
      </w:r>
      <w:proofErr w:type="spellStart"/>
      <w:r w:rsidRPr="00A55A51">
        <w:rPr>
          <w:rFonts w:cstheme="minorHAnsi"/>
          <w:bCs/>
        </w:rPr>
        <w:t>NRP</w:t>
      </w:r>
      <w:r w:rsidRPr="00A55A51">
        <w:rPr>
          <w:rFonts w:cstheme="minorHAnsi"/>
          <w:bCs/>
          <w:vertAlign w:val="subscript"/>
        </w:rPr>
        <w:t>c</w:t>
      </w:r>
      <w:proofErr w:type="spellEnd"/>
      <w:r w:rsidRPr="00A55A51">
        <w:rPr>
          <w:rFonts w:cstheme="minorHAnsi"/>
          <w:bCs/>
        </w:rPr>
        <w:t>. and an overall global NRP..</w:t>
      </w:r>
    </w:p>
    <w:p w14:paraId="3E01C120" w14:textId="77777777" w:rsidR="00696B34" w:rsidRPr="00A55A51" w:rsidRDefault="00696B34" w:rsidP="00E7126F">
      <w:pPr>
        <w:tabs>
          <w:tab w:val="left" w:pos="1080"/>
        </w:tabs>
        <w:spacing w:after="0"/>
        <w:rPr>
          <w:rFonts w:cstheme="minorHAnsi"/>
          <w:iCs/>
        </w:rPr>
      </w:pPr>
    </w:p>
    <w:p w14:paraId="645ACD67" w14:textId="77777777" w:rsidR="00696B34" w:rsidRPr="00A55A51" w:rsidRDefault="00696B34" w:rsidP="00696B34">
      <w:pPr>
        <w:tabs>
          <w:tab w:val="left" w:pos="1080"/>
        </w:tabs>
        <w:spacing w:after="120"/>
        <w:rPr>
          <w:rFonts w:cstheme="minorHAnsi"/>
        </w:rPr>
      </w:pPr>
      <w:r w:rsidRPr="00A55A51">
        <w:rPr>
          <w:rFonts w:cstheme="minorHAnsi"/>
          <w:iCs/>
        </w:rPr>
        <w:t>(5)</w:t>
      </w:r>
      <w:r w:rsidRPr="00A55A51">
        <w:rPr>
          <w:rFonts w:cstheme="minorHAnsi"/>
          <w:i/>
        </w:rPr>
        <w:tab/>
      </w:r>
      <w:proofErr w:type="spellStart"/>
      <w:r w:rsidRPr="00A55A51">
        <w:rPr>
          <w:rFonts w:cstheme="minorHAnsi"/>
          <w:i/>
        </w:rPr>
        <w:t>NRP</w:t>
      </w:r>
      <w:r w:rsidRPr="00A55A51">
        <w:rPr>
          <w:rFonts w:cstheme="minorHAnsi"/>
          <w:i/>
          <w:vertAlign w:val="subscript"/>
        </w:rPr>
        <w:t>.i</w:t>
      </w:r>
      <w:proofErr w:type="spellEnd"/>
      <w:r w:rsidRPr="00A55A51">
        <w:rPr>
          <w:rFonts w:cstheme="minorHAnsi"/>
          <w:i/>
          <w:vertAlign w:val="subscript"/>
        </w:rPr>
        <w:t xml:space="preserve">     </w:t>
      </w:r>
      <w:r w:rsidRPr="00A55A51">
        <w:rPr>
          <w:rFonts w:cstheme="minorHAnsi"/>
          <w:i/>
        </w:rPr>
        <w:t xml:space="preserve">= </w:t>
      </w:r>
      <w:r w:rsidRPr="00A55A51">
        <w:rPr>
          <w:rFonts w:cstheme="minorHAnsi"/>
        </w:rPr>
        <w:t>( (</w:t>
      </w:r>
      <w:r w:rsidRPr="00A55A51">
        <w:rPr>
          <w:rFonts w:cstheme="minorHAnsi"/>
          <w:i/>
        </w:rPr>
        <w:t xml:space="preserve"> </w:t>
      </w:r>
      <w:proofErr w:type="spellStart"/>
      <w:r w:rsidRPr="00A55A51">
        <w:rPr>
          <w:rFonts w:cstheme="minorHAnsi"/>
          <w:i/>
        </w:rPr>
        <w:t>Σ</w:t>
      </w:r>
      <w:r w:rsidRPr="00A55A51">
        <w:rPr>
          <w:rFonts w:cstheme="minorHAnsi"/>
          <w:i/>
          <w:vertAlign w:val="subscript"/>
        </w:rPr>
        <w:t>c</w:t>
      </w:r>
      <w:proofErr w:type="spellEnd"/>
      <w:r w:rsidRPr="00A55A51">
        <w:rPr>
          <w:rFonts w:cstheme="minorHAnsi"/>
        </w:rPr>
        <w:t>(</w:t>
      </w:r>
      <w:proofErr w:type="spellStart"/>
      <w:r w:rsidRPr="00A55A51">
        <w:rPr>
          <w:rFonts w:cstheme="minorHAnsi"/>
          <w:i/>
        </w:rPr>
        <w:t>PP</w:t>
      </w:r>
      <w:r w:rsidRPr="00A55A51">
        <w:rPr>
          <w:rFonts w:cstheme="minorHAnsi"/>
          <w:i/>
          <w:vertAlign w:val="subscript"/>
        </w:rPr>
        <w:t>ci</w:t>
      </w:r>
      <w:proofErr w:type="spellEnd"/>
      <w:r w:rsidRPr="00A55A51">
        <w:rPr>
          <w:rFonts w:cstheme="minorHAnsi"/>
          <w:i/>
        </w:rPr>
        <w:t>*</w:t>
      </w:r>
      <w:proofErr w:type="spellStart"/>
      <w:r w:rsidRPr="00A55A51">
        <w:rPr>
          <w:rFonts w:cstheme="minorHAnsi"/>
          <w:i/>
        </w:rPr>
        <w:t>Q</w:t>
      </w:r>
      <w:r w:rsidRPr="00A55A51">
        <w:rPr>
          <w:rFonts w:cstheme="minorHAnsi"/>
          <w:i/>
          <w:vertAlign w:val="subscript"/>
        </w:rPr>
        <w:t>ci</w:t>
      </w:r>
      <w:proofErr w:type="spellEnd"/>
      <w:r w:rsidRPr="00A55A51">
        <w:rPr>
          <w:rFonts w:cstheme="minorHAnsi"/>
        </w:rPr>
        <w:t>)/</w:t>
      </w:r>
      <w:r w:rsidRPr="00A55A51">
        <w:rPr>
          <w:rFonts w:cstheme="minorHAnsi"/>
          <w:i/>
        </w:rPr>
        <w:t xml:space="preserve"> </w:t>
      </w:r>
      <w:proofErr w:type="spellStart"/>
      <w:r w:rsidRPr="00A55A51">
        <w:rPr>
          <w:rFonts w:cstheme="minorHAnsi"/>
          <w:i/>
        </w:rPr>
        <w:t>Σ</w:t>
      </w:r>
      <w:r w:rsidRPr="00A55A51">
        <w:rPr>
          <w:rFonts w:cstheme="minorHAnsi"/>
          <w:i/>
          <w:vertAlign w:val="subscript"/>
        </w:rPr>
        <w:t>c</w:t>
      </w:r>
      <w:proofErr w:type="spellEnd"/>
      <w:r w:rsidRPr="00A55A51">
        <w:rPr>
          <w:rFonts w:cstheme="minorHAnsi"/>
          <w:i/>
          <w:vertAlign w:val="subscript"/>
        </w:rPr>
        <w:t xml:space="preserve"> </w:t>
      </w:r>
      <w:r w:rsidRPr="00A55A51">
        <w:rPr>
          <w:rFonts w:cstheme="minorHAnsi"/>
        </w:rPr>
        <w:t>(</w:t>
      </w:r>
      <w:proofErr w:type="spellStart"/>
      <w:r w:rsidRPr="00A55A51">
        <w:rPr>
          <w:rFonts w:cstheme="minorHAnsi"/>
          <w:i/>
        </w:rPr>
        <w:t>RP</w:t>
      </w:r>
      <w:r w:rsidRPr="00A55A51">
        <w:rPr>
          <w:rFonts w:cstheme="minorHAnsi"/>
          <w:i/>
          <w:vertAlign w:val="subscript"/>
        </w:rPr>
        <w:t>ci</w:t>
      </w:r>
      <w:proofErr w:type="spellEnd"/>
      <w:r w:rsidRPr="00A55A51">
        <w:rPr>
          <w:rFonts w:cstheme="minorHAnsi"/>
          <w:i/>
          <w:vertAlign w:val="subscript"/>
        </w:rPr>
        <w:t xml:space="preserve"> </w:t>
      </w:r>
      <w:r w:rsidRPr="00A55A51">
        <w:rPr>
          <w:rFonts w:cstheme="minorHAnsi"/>
          <w:i/>
        </w:rPr>
        <w:t>*</w:t>
      </w:r>
      <w:proofErr w:type="spellStart"/>
      <w:r w:rsidRPr="00A55A51">
        <w:rPr>
          <w:rFonts w:cstheme="minorHAnsi"/>
          <w:i/>
        </w:rPr>
        <w:t>Q</w:t>
      </w:r>
      <w:r w:rsidRPr="00A55A51">
        <w:rPr>
          <w:rFonts w:cstheme="minorHAnsi"/>
          <w:i/>
          <w:vertAlign w:val="subscript"/>
        </w:rPr>
        <w:t>ci</w:t>
      </w:r>
      <w:proofErr w:type="spellEnd"/>
      <w:r w:rsidRPr="00A55A51">
        <w:rPr>
          <w:rFonts w:cstheme="minorHAnsi"/>
        </w:rPr>
        <w:t>) )</w:t>
      </w:r>
      <w:r w:rsidRPr="00A55A51">
        <w:rPr>
          <w:rFonts w:cstheme="minorHAnsi"/>
          <w:i/>
        </w:rPr>
        <w:t xml:space="preserve"> – </w:t>
      </w:r>
      <w:r w:rsidRPr="00A55A51">
        <w:rPr>
          <w:rFonts w:cstheme="minorHAnsi"/>
        </w:rPr>
        <w:t>1</w:t>
      </w:r>
      <w:r w:rsidRPr="00A55A51">
        <w:rPr>
          <w:rFonts w:cstheme="minorHAnsi"/>
          <w:i/>
        </w:rPr>
        <w:t xml:space="preserve"> </w:t>
      </w:r>
      <w:r w:rsidRPr="00A55A51">
        <w:rPr>
          <w:rFonts w:cstheme="minorHAnsi"/>
        </w:rPr>
        <w:t>)</w:t>
      </w:r>
    </w:p>
    <w:p w14:paraId="0A86CE06" w14:textId="77777777" w:rsidR="00696B34" w:rsidRPr="00A55A51" w:rsidRDefault="00696B34" w:rsidP="00A45A6C">
      <w:pPr>
        <w:spacing w:after="0" w:line="360" w:lineRule="auto"/>
        <w:rPr>
          <w:rFonts w:cstheme="minorHAnsi"/>
        </w:rPr>
      </w:pPr>
    </w:p>
    <w:p w14:paraId="709A7B57" w14:textId="77777777" w:rsidR="00696B34" w:rsidRPr="00A55A51" w:rsidRDefault="00696B34" w:rsidP="00A45A6C">
      <w:pPr>
        <w:spacing w:after="0" w:line="360" w:lineRule="auto"/>
        <w:rPr>
          <w:rFonts w:cstheme="minorHAnsi"/>
        </w:rPr>
      </w:pPr>
      <w:r w:rsidRPr="00A55A51">
        <w:rPr>
          <w:rFonts w:cstheme="minorHAnsi"/>
        </w:rPr>
        <w:t xml:space="preserve">Where </w:t>
      </w:r>
      <w:proofErr w:type="spellStart"/>
      <w:r w:rsidRPr="00A55A51">
        <w:rPr>
          <w:rFonts w:cstheme="minorHAnsi"/>
        </w:rPr>
        <w:t>Q</w:t>
      </w:r>
      <w:r w:rsidRPr="00A55A51">
        <w:rPr>
          <w:rFonts w:cstheme="minorHAnsi"/>
          <w:vertAlign w:val="subscript"/>
        </w:rPr>
        <w:t>ci</w:t>
      </w:r>
      <w:proofErr w:type="spellEnd"/>
      <w:r w:rsidRPr="00A55A51">
        <w:rPr>
          <w:rFonts w:cstheme="minorHAnsi"/>
        </w:rPr>
        <w:t xml:space="preserve"> is the quantity of production for commodity c in country i ;  c=1….n is an index over commodities and i=1…..m an index over countries.. The average NRP for a commodity worldwide is given by: </w:t>
      </w:r>
    </w:p>
    <w:p w14:paraId="717ABD87" w14:textId="77777777" w:rsidR="00696B34" w:rsidRPr="00A55A51" w:rsidRDefault="00696B34" w:rsidP="00696B34">
      <w:pPr>
        <w:rPr>
          <w:rFonts w:cstheme="minorHAnsi"/>
        </w:rPr>
      </w:pPr>
    </w:p>
    <w:p w14:paraId="0CC5C6E0" w14:textId="77777777" w:rsidR="00696B34" w:rsidRPr="00A55A51" w:rsidRDefault="00696B34" w:rsidP="00696B34">
      <w:pPr>
        <w:tabs>
          <w:tab w:val="left" w:pos="1080"/>
        </w:tabs>
        <w:spacing w:after="120"/>
        <w:ind w:left="1080" w:hanging="1080"/>
        <w:rPr>
          <w:rFonts w:cstheme="minorHAnsi"/>
          <w:i/>
        </w:rPr>
      </w:pPr>
      <w:r w:rsidRPr="00A55A51">
        <w:rPr>
          <w:rFonts w:cstheme="minorHAnsi"/>
          <w:bCs/>
        </w:rPr>
        <w:t>(6)</w:t>
      </w:r>
      <w:r w:rsidRPr="00A55A51">
        <w:rPr>
          <w:rFonts w:cstheme="minorHAnsi"/>
          <w:b/>
        </w:rPr>
        <w:tab/>
      </w:r>
      <w:proofErr w:type="spellStart"/>
      <w:r w:rsidRPr="00A55A51">
        <w:rPr>
          <w:rFonts w:cstheme="minorHAnsi"/>
          <w:i/>
        </w:rPr>
        <w:t>NRP</w:t>
      </w:r>
      <w:r w:rsidRPr="00A55A51">
        <w:rPr>
          <w:rFonts w:cstheme="minorHAnsi"/>
          <w:i/>
          <w:vertAlign w:val="subscript"/>
        </w:rPr>
        <w:t>c</w:t>
      </w:r>
      <w:proofErr w:type="spellEnd"/>
      <w:r w:rsidRPr="00A55A51">
        <w:rPr>
          <w:rFonts w:cstheme="minorHAnsi"/>
          <w:i/>
          <w:vertAlign w:val="subscript"/>
        </w:rPr>
        <w:t>.</w:t>
      </w:r>
      <w:r w:rsidRPr="00A55A51">
        <w:rPr>
          <w:rFonts w:cstheme="minorHAnsi"/>
          <w:i/>
        </w:rPr>
        <w:t xml:space="preserve"> = </w:t>
      </w:r>
      <w:r w:rsidRPr="00A55A51">
        <w:rPr>
          <w:rFonts w:cstheme="minorHAnsi"/>
        </w:rPr>
        <w:t xml:space="preserve"> (</w:t>
      </w:r>
      <w:r w:rsidRPr="00A55A51">
        <w:rPr>
          <w:rFonts w:cstheme="minorHAnsi"/>
          <w:i/>
        </w:rPr>
        <w:t xml:space="preserve"> </w:t>
      </w:r>
      <w:proofErr w:type="spellStart"/>
      <w:r w:rsidRPr="00A55A51">
        <w:rPr>
          <w:rFonts w:cstheme="minorHAnsi"/>
          <w:i/>
        </w:rPr>
        <w:t>Σ</w:t>
      </w:r>
      <w:r w:rsidRPr="00A55A51">
        <w:rPr>
          <w:rFonts w:cstheme="minorHAnsi"/>
          <w:i/>
          <w:vertAlign w:val="subscript"/>
        </w:rPr>
        <w:t>i</w:t>
      </w:r>
      <w:proofErr w:type="spellEnd"/>
      <w:r w:rsidRPr="00A55A51">
        <w:rPr>
          <w:rFonts w:cstheme="minorHAnsi"/>
        </w:rPr>
        <w:t>(</w:t>
      </w:r>
      <w:proofErr w:type="spellStart"/>
      <w:r w:rsidRPr="00A55A51">
        <w:rPr>
          <w:rFonts w:cstheme="minorHAnsi"/>
          <w:i/>
        </w:rPr>
        <w:t>PP</w:t>
      </w:r>
      <w:r w:rsidRPr="00A55A51">
        <w:rPr>
          <w:rFonts w:cstheme="minorHAnsi"/>
          <w:i/>
          <w:vertAlign w:val="subscript"/>
        </w:rPr>
        <w:t>ci</w:t>
      </w:r>
      <w:proofErr w:type="spellEnd"/>
      <w:r w:rsidRPr="00A55A51">
        <w:rPr>
          <w:rFonts w:cstheme="minorHAnsi"/>
          <w:i/>
        </w:rPr>
        <w:t>*</w:t>
      </w:r>
      <w:proofErr w:type="spellStart"/>
      <w:r w:rsidRPr="00A55A51">
        <w:rPr>
          <w:rFonts w:cstheme="minorHAnsi"/>
          <w:i/>
        </w:rPr>
        <w:t>Q</w:t>
      </w:r>
      <w:r w:rsidRPr="00A55A51">
        <w:rPr>
          <w:rFonts w:cstheme="minorHAnsi"/>
          <w:i/>
          <w:vertAlign w:val="subscript"/>
        </w:rPr>
        <w:t>ci</w:t>
      </w:r>
      <w:proofErr w:type="spellEnd"/>
      <w:r w:rsidRPr="00A55A51">
        <w:rPr>
          <w:rFonts w:cstheme="minorHAnsi"/>
          <w:i/>
        </w:rPr>
        <w:t xml:space="preserve">)/ </w:t>
      </w:r>
      <w:proofErr w:type="spellStart"/>
      <w:r w:rsidRPr="00A55A51">
        <w:rPr>
          <w:rFonts w:cstheme="minorHAnsi"/>
          <w:i/>
        </w:rPr>
        <w:t>Σ</w:t>
      </w:r>
      <w:r w:rsidRPr="00A55A51">
        <w:rPr>
          <w:rFonts w:cstheme="minorHAnsi"/>
          <w:i/>
          <w:vertAlign w:val="subscript"/>
        </w:rPr>
        <w:t>i</w:t>
      </w:r>
      <w:proofErr w:type="spellEnd"/>
      <w:r w:rsidRPr="00A55A51">
        <w:rPr>
          <w:rFonts w:cstheme="minorHAnsi"/>
          <w:i/>
          <w:vertAlign w:val="subscript"/>
        </w:rPr>
        <w:t xml:space="preserve"> </w:t>
      </w:r>
      <w:r w:rsidRPr="00A55A51">
        <w:rPr>
          <w:rFonts w:cstheme="minorHAnsi"/>
          <w:i/>
        </w:rPr>
        <w:t>(</w:t>
      </w:r>
      <w:proofErr w:type="spellStart"/>
      <w:r w:rsidRPr="00A55A51">
        <w:rPr>
          <w:rFonts w:cstheme="minorHAnsi"/>
          <w:i/>
        </w:rPr>
        <w:t>RP</w:t>
      </w:r>
      <w:r w:rsidRPr="00A55A51">
        <w:rPr>
          <w:rFonts w:cstheme="minorHAnsi"/>
          <w:i/>
          <w:vertAlign w:val="subscript"/>
        </w:rPr>
        <w:t>ci</w:t>
      </w:r>
      <w:proofErr w:type="spellEnd"/>
      <w:r w:rsidRPr="00A55A51">
        <w:rPr>
          <w:rFonts w:cstheme="minorHAnsi"/>
          <w:i/>
          <w:vertAlign w:val="subscript"/>
        </w:rPr>
        <w:t xml:space="preserve"> </w:t>
      </w:r>
      <w:r w:rsidRPr="00A55A51">
        <w:rPr>
          <w:rFonts w:cstheme="minorHAnsi"/>
          <w:i/>
        </w:rPr>
        <w:t>*</w:t>
      </w:r>
      <w:proofErr w:type="spellStart"/>
      <w:r w:rsidRPr="00A55A51">
        <w:rPr>
          <w:rFonts w:cstheme="minorHAnsi"/>
          <w:i/>
        </w:rPr>
        <w:t>Q</w:t>
      </w:r>
      <w:r w:rsidRPr="00A55A51">
        <w:rPr>
          <w:rFonts w:cstheme="minorHAnsi"/>
          <w:i/>
          <w:vertAlign w:val="subscript"/>
        </w:rPr>
        <w:t>ci</w:t>
      </w:r>
      <w:proofErr w:type="spellEnd"/>
      <w:r w:rsidRPr="00A55A51">
        <w:rPr>
          <w:rFonts w:cstheme="minorHAnsi"/>
          <w:i/>
        </w:rPr>
        <w:t xml:space="preserve">)  – 1 </w:t>
      </w:r>
    </w:p>
    <w:p w14:paraId="1A6B4955" w14:textId="77777777" w:rsidR="00696B34" w:rsidRPr="00A55A51" w:rsidRDefault="00696B34" w:rsidP="00A45A6C">
      <w:pPr>
        <w:spacing w:after="0"/>
        <w:rPr>
          <w:rFonts w:cstheme="minorHAnsi"/>
        </w:rPr>
      </w:pPr>
    </w:p>
    <w:p w14:paraId="20E90012" w14:textId="77777777" w:rsidR="00696B34" w:rsidRPr="00A55A51" w:rsidRDefault="00696B34" w:rsidP="00A45A6C">
      <w:pPr>
        <w:spacing w:after="0"/>
        <w:rPr>
          <w:rFonts w:cstheme="minorHAnsi"/>
        </w:rPr>
      </w:pPr>
      <w:r w:rsidRPr="00A55A51">
        <w:rPr>
          <w:rFonts w:cstheme="minorHAnsi"/>
        </w:rPr>
        <w:t>where summation over index i refers to production of the commodity in all covered different countries.</w:t>
      </w:r>
    </w:p>
    <w:p w14:paraId="25B4833D" w14:textId="77777777" w:rsidR="00696B34" w:rsidRPr="00A55A51" w:rsidRDefault="00696B34" w:rsidP="00A45A6C">
      <w:pPr>
        <w:tabs>
          <w:tab w:val="left" w:pos="547"/>
        </w:tabs>
        <w:spacing w:after="0" w:line="360" w:lineRule="auto"/>
        <w:rPr>
          <w:rFonts w:cstheme="minorHAnsi"/>
        </w:rPr>
      </w:pPr>
      <w:r w:rsidRPr="00A55A51">
        <w:rPr>
          <w:rFonts w:cstheme="minorHAnsi"/>
        </w:rPr>
        <w:tab/>
      </w:r>
    </w:p>
    <w:p w14:paraId="191B86B1" w14:textId="77777777" w:rsidR="00696B34" w:rsidRPr="00A55A51" w:rsidRDefault="00696B34" w:rsidP="00696B34">
      <w:pPr>
        <w:tabs>
          <w:tab w:val="left" w:pos="547"/>
        </w:tabs>
        <w:spacing w:after="120" w:line="360" w:lineRule="auto"/>
        <w:rPr>
          <w:rFonts w:cstheme="minorHAnsi"/>
        </w:rPr>
      </w:pPr>
      <w:r w:rsidRPr="00A55A51">
        <w:rPr>
          <w:rFonts w:cstheme="minorHAnsi"/>
        </w:rPr>
        <w:tab/>
        <w:t>Because of the wide variety of policy instruments used to influence agricultural incentives —ad valorem tariffs, specific tariffs, quotas, licenses, tariff-rate-quotas, etc.—it is not feasible to evaluate agricultural protection using measures such as a tariff rate. We, therefore, use measures of distortions based on the price comparison approach, which captures the complete impact of whatever distortions are applied. It does this based on the law of one price, where the goods must be comparable (in terms of quality, processing level, and location). The reference price is the border price evaluated at the official nominal exchange rate</w:t>
      </w:r>
      <w:r w:rsidRPr="00A55A51">
        <w:rPr>
          <w:rFonts w:cstheme="minorHAnsi"/>
          <w:b/>
        </w:rPr>
        <w:t xml:space="preserve"> </w:t>
      </w:r>
      <w:r w:rsidRPr="00A55A51">
        <w:rPr>
          <w:rFonts w:cstheme="minorHAnsi"/>
        </w:rPr>
        <w:t>adjusted for transport, storage, distribution, processing, and for quality differences based on input data provided by each IO.</w:t>
      </w:r>
    </w:p>
    <w:p w14:paraId="500AEB5F" w14:textId="77777777" w:rsidR="00696B34" w:rsidRPr="00A55A51" w:rsidRDefault="00696B34" w:rsidP="00696B34">
      <w:pPr>
        <w:tabs>
          <w:tab w:val="left" w:pos="547"/>
        </w:tabs>
        <w:spacing w:after="120" w:line="360" w:lineRule="auto"/>
        <w:rPr>
          <w:rFonts w:cstheme="minorHAnsi"/>
        </w:rPr>
      </w:pPr>
      <w:r w:rsidRPr="00A55A51">
        <w:rPr>
          <w:rFonts w:cstheme="minorHAnsi"/>
        </w:rPr>
        <w:tab/>
        <w:t>The first step before computing NRPs, is creation of a harmonized metadata template that incorporates input data for all Ios involved and deals with and computes NRPs for commodities and countries as described in Figure 1.</w:t>
      </w:r>
    </w:p>
    <w:p w14:paraId="0FFC79D8" w14:textId="77777777" w:rsidR="003E49AC" w:rsidRPr="00A55A51" w:rsidRDefault="00696B34" w:rsidP="004E002E">
      <w:pPr>
        <w:tabs>
          <w:tab w:val="left" w:pos="1080"/>
        </w:tabs>
        <w:spacing w:after="0"/>
        <w:rPr>
          <w:rFonts w:cstheme="minorHAnsi"/>
          <w:b/>
        </w:rPr>
      </w:pPr>
      <w:r w:rsidRPr="00A55A51">
        <w:rPr>
          <w:rFonts w:cstheme="minorHAnsi"/>
          <w:noProof/>
        </w:rPr>
        <w:drawing>
          <wp:inline distT="0" distB="0" distL="0" distR="0" wp14:anchorId="0CC9D9B7" wp14:editId="0C5B2A6B">
            <wp:extent cx="6159261" cy="1940560"/>
            <wp:effectExtent l="0" t="0" r="0" b="2540"/>
            <wp:docPr id="19" name="Picture 1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diagram&#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3294" cy="1944981"/>
                    </a:xfrm>
                    <a:prstGeom prst="rect">
                      <a:avLst/>
                    </a:prstGeom>
                    <a:noFill/>
                  </pic:spPr>
                </pic:pic>
              </a:graphicData>
            </a:graphic>
          </wp:inline>
        </w:drawing>
      </w:r>
    </w:p>
    <w:p w14:paraId="4DF488C2" w14:textId="6206E42E" w:rsidR="00696B34" w:rsidRPr="00A55A51" w:rsidRDefault="00A45A6C" w:rsidP="004E002E">
      <w:pPr>
        <w:pStyle w:val="Caption"/>
        <w:spacing w:before="0" w:after="0"/>
        <w:rPr>
          <w:rFonts w:asciiTheme="minorHAnsi" w:hAnsiTheme="minorHAnsi" w:cstheme="minorHAnsi"/>
          <w:i/>
        </w:rPr>
      </w:pPr>
      <w:bookmarkStart w:id="11" w:name="_Toc195126825"/>
      <w:r>
        <w:t xml:space="preserve">Figure </w:t>
      </w:r>
      <w:fldSimple w:instr=" SEQ Figure \* ARABIC ">
        <w:r w:rsidR="00F23FF1">
          <w:rPr>
            <w:noProof/>
          </w:rPr>
          <w:t>1</w:t>
        </w:r>
      </w:fldSimple>
      <w:r w:rsidR="00696B34" w:rsidRPr="00A55A51">
        <w:rPr>
          <w:rFonts w:asciiTheme="minorHAnsi" w:hAnsiTheme="minorHAnsi" w:cstheme="minorHAnsi"/>
        </w:rPr>
        <w:t xml:space="preserve">: </w:t>
      </w:r>
      <w:r w:rsidR="00696B34" w:rsidRPr="00A45A6C">
        <w:rPr>
          <w:rFonts w:asciiTheme="minorHAnsi" w:hAnsiTheme="minorHAnsi" w:cstheme="minorHAnsi"/>
          <w:b w:val="0"/>
          <w:bCs/>
          <w:iCs w:val="0"/>
        </w:rPr>
        <w:t>Harmonized data template process</w:t>
      </w:r>
      <w:bookmarkEnd w:id="11"/>
    </w:p>
    <w:p w14:paraId="392F4DDF" w14:textId="77777777" w:rsidR="00696B34" w:rsidRPr="00A55A51" w:rsidRDefault="00696B34" w:rsidP="00696B34">
      <w:pPr>
        <w:tabs>
          <w:tab w:val="left" w:pos="1080"/>
        </w:tabs>
        <w:spacing w:after="120"/>
        <w:rPr>
          <w:rFonts w:cstheme="minorHAnsi"/>
          <w:iCs/>
        </w:rPr>
      </w:pPr>
      <w:r w:rsidRPr="00A55A51">
        <w:rPr>
          <w:rFonts w:cstheme="minorHAnsi"/>
          <w:iCs/>
        </w:rPr>
        <w:t xml:space="preserve">Note: NRPs at sectoral level (crops, livestock) are computed following equation (5) for the relevant sets of commodities. </w:t>
      </w:r>
      <w:r w:rsidRPr="00A55A51">
        <w:rPr>
          <w:rFonts w:cstheme="minorHAnsi"/>
        </w:rPr>
        <w:t xml:space="preserve"> </w:t>
      </w:r>
    </w:p>
    <w:p w14:paraId="66CB4438" w14:textId="77777777" w:rsidR="00696B34" w:rsidRPr="00A55A51" w:rsidRDefault="00696B34" w:rsidP="00696B34">
      <w:pPr>
        <w:tabs>
          <w:tab w:val="left" w:pos="1080"/>
        </w:tabs>
        <w:spacing w:after="120"/>
        <w:rPr>
          <w:rFonts w:cstheme="minorHAnsi"/>
        </w:rPr>
      </w:pPr>
    </w:p>
    <w:p w14:paraId="1F04FAE0" w14:textId="77777777" w:rsidR="00696B34" w:rsidRPr="00A55A51" w:rsidRDefault="00696B34" w:rsidP="00696B34">
      <w:pPr>
        <w:spacing w:line="360" w:lineRule="auto"/>
        <w:rPr>
          <w:rFonts w:cstheme="minorHAnsi"/>
        </w:rPr>
      </w:pPr>
      <w:r w:rsidRPr="00A55A51">
        <w:rPr>
          <w:rFonts w:cstheme="minorHAnsi"/>
        </w:rPr>
        <w:lastRenderedPageBreak/>
        <w:tab/>
        <w:t xml:space="preserve">Measurements of the NRP follow the harmonized metadata template in Figure 2 to identify the path of price transmission across the Value Chain and to measure changes in prices along this path while computing the reference price at the same point in the value chain. This reference price is later compared to the farmgate price (PP) to compute the NRP. </w:t>
      </w:r>
    </w:p>
    <w:p w14:paraId="6B7C6217" w14:textId="77777777" w:rsidR="00696B34" w:rsidRPr="00A55A51" w:rsidRDefault="00696B34" w:rsidP="00696B34">
      <w:pPr>
        <w:rPr>
          <w:rFonts w:cstheme="minorHAnsi"/>
        </w:rPr>
      </w:pPr>
      <w:r w:rsidRPr="00A55A51">
        <w:rPr>
          <w:rFonts w:cstheme="minorHAnsi"/>
          <w:noProof/>
        </w:rPr>
        <w:drawing>
          <wp:inline distT="0" distB="0" distL="0" distR="0" wp14:anchorId="66CC8D1E" wp14:editId="504EAF8F">
            <wp:extent cx="6120130" cy="2705735"/>
            <wp:effectExtent l="76200" t="0" r="52070" b="1841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012FFAB" w14:textId="6B4A71D8" w:rsidR="00696B34" w:rsidRPr="00A55A51" w:rsidRDefault="00A45A6C" w:rsidP="00A45A6C">
      <w:pPr>
        <w:pStyle w:val="Caption"/>
        <w:rPr>
          <w:rFonts w:asciiTheme="minorHAnsi" w:hAnsiTheme="minorHAnsi" w:cstheme="minorHAnsi"/>
        </w:rPr>
      </w:pPr>
      <w:bookmarkStart w:id="12" w:name="_Toc195126826"/>
      <w:r>
        <w:t xml:space="preserve">Figure </w:t>
      </w:r>
      <w:fldSimple w:instr=" SEQ Figure \* ARABIC ">
        <w:r w:rsidR="00F23FF1">
          <w:rPr>
            <w:noProof/>
          </w:rPr>
          <w:t>2</w:t>
        </w:r>
      </w:fldSimple>
      <w:r w:rsidR="00696B34" w:rsidRPr="00A55A51">
        <w:rPr>
          <w:rFonts w:asciiTheme="minorHAnsi" w:hAnsiTheme="minorHAnsi" w:cstheme="minorHAnsi"/>
        </w:rPr>
        <w:t xml:space="preserve">: </w:t>
      </w:r>
      <w:r w:rsidR="00696B34" w:rsidRPr="00A45A6C">
        <w:rPr>
          <w:rFonts w:asciiTheme="minorHAnsi" w:hAnsiTheme="minorHAnsi" w:cstheme="minorHAnsi"/>
          <w:b w:val="0"/>
          <w:bCs/>
          <w:iCs w:val="0"/>
        </w:rPr>
        <w:t>Price Transmission along a Value Chain</w:t>
      </w:r>
      <w:bookmarkEnd w:id="12"/>
      <w:r w:rsidR="00696B34" w:rsidRPr="00A55A51">
        <w:rPr>
          <w:rFonts w:asciiTheme="minorHAnsi" w:hAnsiTheme="minorHAnsi" w:cstheme="minorHAnsi"/>
        </w:rPr>
        <w:t xml:space="preserve"> </w:t>
      </w:r>
    </w:p>
    <w:p w14:paraId="43E6F0C1" w14:textId="77777777" w:rsidR="00696B34" w:rsidRPr="00A55A51" w:rsidRDefault="00696B34" w:rsidP="00696B34">
      <w:pPr>
        <w:tabs>
          <w:tab w:val="left" w:pos="540"/>
        </w:tabs>
        <w:spacing w:after="120" w:line="360" w:lineRule="auto"/>
        <w:ind w:firstLine="562"/>
        <w:rPr>
          <w:rFonts w:cstheme="minorHAnsi"/>
        </w:rPr>
      </w:pPr>
    </w:p>
    <w:p w14:paraId="0DAEE758" w14:textId="77777777" w:rsidR="00696B34" w:rsidRPr="00A55A51" w:rsidRDefault="00696B34" w:rsidP="00696B34">
      <w:pPr>
        <w:tabs>
          <w:tab w:val="left" w:pos="540"/>
        </w:tabs>
        <w:spacing w:after="120" w:line="360" w:lineRule="auto"/>
        <w:ind w:firstLine="562"/>
        <w:rPr>
          <w:rFonts w:cstheme="minorHAnsi"/>
        </w:rPr>
      </w:pPr>
      <w:r w:rsidRPr="00A55A51">
        <w:rPr>
          <w:rFonts w:cstheme="minorHAnsi"/>
        </w:rPr>
        <w:t xml:space="preserve">The analysts preparing the data apply both quantity and quality adjustment to allow comparison of prices for homogenous products. As explained in the OECD (2016) manual, quantity adjustment is frequently needed to obtain prices that can be compared. As an example, consider beef, for which the border price is frequently quoted based on the price of boneless, boxed beef. By contrast, domestic prices are frequently reported using the sale price of live cattle. Comparing the price of live cattle with that the traded product requires a conversion factor of around 0.4.  Other adjustments may be needed for quality differences in terms of color, moisture level, protein, fat or oil content, or degree of impurities. </w:t>
      </w:r>
    </w:p>
    <w:p w14:paraId="09EDDC89" w14:textId="77777777" w:rsidR="00696B34" w:rsidRPr="00A55A51" w:rsidRDefault="00696B34" w:rsidP="00696B34">
      <w:pPr>
        <w:tabs>
          <w:tab w:val="left" w:pos="540"/>
        </w:tabs>
        <w:spacing w:after="120" w:line="360" w:lineRule="auto"/>
        <w:ind w:firstLine="562"/>
        <w:rPr>
          <w:rFonts w:cstheme="minorHAnsi"/>
        </w:rPr>
      </w:pPr>
      <w:r w:rsidRPr="00A55A51">
        <w:rPr>
          <w:rFonts w:cstheme="minorHAnsi"/>
        </w:rPr>
        <w:t>The objective of the analysis is to obtain a market price differential (MPD)</w:t>
      </w:r>
      <w:r w:rsidRPr="00A55A51">
        <w:rPr>
          <w:rFonts w:cstheme="minorHAnsi"/>
          <w:i/>
          <w:iCs/>
        </w:rPr>
        <w:t xml:space="preserve"> </w:t>
      </w:r>
      <w:r w:rsidRPr="00A55A51">
        <w:rPr>
          <w:rFonts w:cstheme="minorHAnsi"/>
        </w:rPr>
        <w:t xml:space="preserve">that reflects only the impacts of trade policy. If the domestic price data are at the farm gate level, then a transport cost adjustment will be needed before the farm gate price can be compared with reference price at the border.  </w:t>
      </w:r>
    </w:p>
    <w:p w14:paraId="053224C7" w14:textId="77777777" w:rsidR="00696B34" w:rsidRPr="00A55A51" w:rsidRDefault="00696B34" w:rsidP="00696B34">
      <w:pPr>
        <w:tabs>
          <w:tab w:val="left" w:pos="540"/>
        </w:tabs>
        <w:spacing w:after="120" w:line="360" w:lineRule="auto"/>
        <w:ind w:firstLine="562"/>
        <w:rPr>
          <w:rFonts w:cstheme="minorHAnsi"/>
        </w:rPr>
      </w:pPr>
      <w:r w:rsidRPr="00A55A51">
        <w:rPr>
          <w:rFonts w:cstheme="minorHAnsi"/>
        </w:rPr>
        <w:t>There are inevitably some commodities that are too minor or too heterogenous to allow computation of the NRP. Setting the NRP for these commodities to zero but keeping their value of output in the denominator of equations (5) and (6) almost certainly understates the overall nominal rate of protection at a global level. We follow the OECD practice of assuming that the NRP is the same for these commodities as for the ones on which we have NRP measures. This allows us to calculate NRP measures for agriculture as a whole. 1</w:t>
      </w:r>
    </w:p>
    <w:p w14:paraId="3D1C39F3" w14:textId="77777777" w:rsidR="00696B34" w:rsidRPr="00A55A51" w:rsidRDefault="00696B34" w:rsidP="00696B34">
      <w:pPr>
        <w:tabs>
          <w:tab w:val="left" w:pos="540"/>
        </w:tabs>
        <w:spacing w:after="120"/>
        <w:rPr>
          <w:rFonts w:cstheme="minorHAnsi"/>
          <w:b/>
        </w:rPr>
      </w:pPr>
      <w:r w:rsidRPr="00A55A51">
        <w:rPr>
          <w:rFonts w:cstheme="minorHAnsi"/>
          <w:b/>
        </w:rPr>
        <w:lastRenderedPageBreak/>
        <w:t xml:space="preserve">NRA Indicators </w:t>
      </w:r>
    </w:p>
    <w:p w14:paraId="20B4EEF5" w14:textId="77777777" w:rsidR="00696B34" w:rsidRPr="00A55A51" w:rsidRDefault="00696B34" w:rsidP="00696B34">
      <w:pPr>
        <w:spacing w:line="360" w:lineRule="auto"/>
        <w:jc w:val="both"/>
        <w:rPr>
          <w:rFonts w:cstheme="minorHAnsi"/>
        </w:rPr>
      </w:pPr>
      <w:r w:rsidRPr="00A55A51">
        <w:rPr>
          <w:rFonts w:cstheme="minorHAnsi"/>
        </w:rPr>
        <w:t>The Consortium now provides Nominal Rate of Assistance (NRA) estimates for commodities and sectors. These are a set of measures that capture the extent of support provided by a range of policy instruments. These include the market price distortions caused by border measures— such as tariffs, quotas, trade bans or export taxes—reported in NRP measures; and changes in incentives created by subsidies linked to production, to inputs, or to other characteristics such as current or historical land use. The set of NRA measures provides a more comprehensive picture of the extent of producer support to the agricultural sector, relative to Nominal Rate of Protection (NRP) measures that capture only the extent to which agricultural policies affect the domestic market price of a product relative to external prices.</w:t>
      </w:r>
    </w:p>
    <w:p w14:paraId="583FEE91" w14:textId="77777777" w:rsidR="00696B34" w:rsidRPr="00A55A51" w:rsidRDefault="00696B34" w:rsidP="00696B34">
      <w:pPr>
        <w:spacing w:line="360" w:lineRule="auto"/>
        <w:ind w:firstLine="720"/>
        <w:jc w:val="both"/>
        <w:rPr>
          <w:rFonts w:cstheme="minorHAnsi"/>
        </w:rPr>
      </w:pPr>
      <w:r w:rsidRPr="00A55A51">
        <w:rPr>
          <w:rFonts w:cstheme="minorHAnsi"/>
        </w:rPr>
        <w:t xml:space="preserve">The total percentage NRA for country r, in year t, covering all products and policy measures is defined as: </w:t>
      </w:r>
    </w:p>
    <w:p w14:paraId="27B0080B" w14:textId="77777777" w:rsidR="00696B34" w:rsidRPr="00A55A51" w:rsidRDefault="00696B34" w:rsidP="00696B34">
      <w:pPr>
        <w:jc w:val="both"/>
        <w:rPr>
          <w:rFonts w:cstheme="minorHAnsi"/>
        </w:rPr>
      </w:pPr>
    </w:p>
    <w:p w14:paraId="27315FE5" w14:textId="4A4ED08F" w:rsidR="00696B34" w:rsidRPr="00A55A51" w:rsidRDefault="00000000" w:rsidP="00696B34">
      <w:pPr>
        <w:jc w:val="both"/>
        <w:rPr>
          <w:rFonts w:cstheme="minorHAnsi"/>
        </w:rPr>
      </w:pPr>
      <m:oMath>
        <m:sSub>
          <m:sSubPr>
            <m:ctrlPr>
              <w:rPr>
                <w:rFonts w:ascii="Cambria Math" w:hAnsi="Cambria Math" w:cstheme="minorHAnsi"/>
              </w:rPr>
            </m:ctrlPr>
          </m:sSubPr>
          <m:e>
            <m:r>
              <w:rPr>
                <w:rFonts w:ascii="Cambria Math" w:hAnsi="Cambria Math" w:cstheme="minorHAnsi"/>
              </w:rPr>
              <m:t>NRA</m:t>
            </m:r>
          </m:e>
          <m:sub>
            <m:r>
              <m:rPr>
                <m:sty m:val="p"/>
              </m:rPr>
              <w:rPr>
                <w:rFonts w:ascii="Cambria Math" w:hAnsi="Cambria Math" w:cstheme="minorHAnsi"/>
              </w:rPr>
              <m:t>"</m:t>
            </m:r>
            <m:r>
              <w:rPr>
                <w:rFonts w:ascii="Cambria Math" w:hAnsi="Cambria Math" w:cstheme="minorHAnsi"/>
              </w:rPr>
              <m:t>Total</m:t>
            </m:r>
            <m:r>
              <m:rPr>
                <m:sty m:val="p"/>
              </m:rPr>
              <w:rPr>
                <w:rFonts w:ascii="Cambria Math" w:hAnsi="Cambria Math" w:cstheme="minorHAnsi"/>
              </w:rPr>
              <m:t>",</m:t>
            </m:r>
            <m:r>
              <w:rPr>
                <w:rFonts w:ascii="Cambria Math" w:hAnsi="Cambria Math" w:cstheme="minorHAnsi"/>
              </w:rPr>
              <m:t>r</m:t>
            </m:r>
            <m:r>
              <m:rPr>
                <m:sty m:val="p"/>
              </m:rPr>
              <w:rPr>
                <w:rFonts w:ascii="Cambria Math" w:hAnsi="Cambria Math" w:cstheme="minorHAnsi"/>
              </w:rPr>
              <m:t>,</m:t>
            </m:r>
            <m:r>
              <w:rPr>
                <w:rFonts w:ascii="Cambria Math" w:hAnsi="Cambria Math" w:cstheme="minorHAnsi"/>
              </w:rPr>
              <m:t>t</m:t>
            </m:r>
          </m:sub>
        </m:sSub>
        <m:r>
          <m:rPr>
            <m:sty m:val="p"/>
          </m:rPr>
          <w:rPr>
            <w:rFonts w:ascii="Cambria Math" w:hAnsi="Cambria Math" w:cstheme="minorHAnsi"/>
          </w:rPr>
          <m:t>=</m:t>
        </m:r>
        <m:d>
          <m:dPr>
            <m:ctrlPr>
              <w:rPr>
                <w:rFonts w:ascii="Cambria Math" w:hAnsi="Cambria Math" w:cstheme="minorHAnsi"/>
              </w:rPr>
            </m:ctrlPr>
          </m:dPr>
          <m:e>
            <m:f>
              <m:fPr>
                <m:ctrlPr>
                  <w:rPr>
                    <w:rFonts w:ascii="Cambria Math" w:hAnsi="Cambria Math" w:cstheme="minorHAnsi"/>
                  </w:rPr>
                </m:ctrlPr>
              </m:fPr>
              <m:num>
                <m:nary>
                  <m:naryPr>
                    <m:chr m:val="∑"/>
                    <m:limLoc m:val="undOvr"/>
                    <m:supHide m:val="1"/>
                    <m:ctrlPr>
                      <w:rPr>
                        <w:rFonts w:ascii="Cambria Math" w:hAnsi="Cambria Math" w:cstheme="minorHAnsi"/>
                        <w:i/>
                      </w:rPr>
                    </m:ctrlPr>
                  </m:naryPr>
                  <m:sub>
                    <m:r>
                      <w:rPr>
                        <w:rFonts w:ascii="Cambria Math" w:hAnsi="Cambria Math" w:cstheme="minorHAnsi"/>
                      </w:rPr>
                      <m:t>s</m:t>
                    </m:r>
                    <m:r>
                      <m:rPr>
                        <m:sty m:val="p"/>
                      </m:rPr>
                      <w:rPr>
                        <w:rFonts w:ascii="Cambria Math" w:hAnsi="Cambria Math" w:cstheme="minorHAnsi"/>
                      </w:rPr>
                      <m:t>,</m:t>
                    </m:r>
                    <m:r>
                      <w:rPr>
                        <w:rFonts w:ascii="Cambria Math" w:hAnsi="Cambria Math" w:cstheme="minorHAnsi"/>
                      </w:rPr>
                      <m:t>i</m:t>
                    </m:r>
                  </m:sub>
                  <m:sup/>
                  <m:e>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s</m:t>
                        </m:r>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r>
                          <w:rPr>
                            <w:rFonts w:ascii="Cambria Math" w:hAnsi="Cambria Math" w:cstheme="minorHAnsi"/>
                          </w:rPr>
                          <m:t>r</m:t>
                        </m:r>
                        <m:r>
                          <m:rPr>
                            <m:sty m:val="p"/>
                          </m:rPr>
                          <w:rPr>
                            <w:rFonts w:ascii="Cambria Math" w:hAnsi="Cambria Math" w:cstheme="minorHAnsi"/>
                          </w:rPr>
                          <m:t>,</m:t>
                        </m:r>
                        <m:r>
                          <w:rPr>
                            <w:rFonts w:ascii="Cambria Math" w:hAnsi="Cambria Math" w:cstheme="minorHAnsi"/>
                          </w:rPr>
                          <m:t>t</m:t>
                        </m:r>
                      </m:sub>
                    </m:sSub>
                  </m:e>
                </m:nary>
              </m:num>
              <m:den>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rPr>
                        </m:ctrlPr>
                      </m:sSubPr>
                      <m:e>
                        <m:r>
                          <m:rPr>
                            <m:sty m:val="bi"/>
                          </m:rPr>
                          <w:rPr>
                            <w:rFonts w:ascii="Cambria Math" w:hAnsi="Cambria Math" w:cstheme="minorHAnsi"/>
                          </w:rPr>
                          <m:t>V</m:t>
                        </m:r>
                      </m:e>
                      <m:sub>
                        <m:r>
                          <m:rPr>
                            <m:sty m:val="bi"/>
                          </m:rPr>
                          <w:rPr>
                            <w:rFonts w:ascii="Cambria Math" w:hAnsi="Cambria Math" w:cstheme="minorHAnsi"/>
                          </w:rPr>
                          <m:t>i</m:t>
                        </m:r>
                        <m:r>
                          <m:rPr>
                            <m:sty m:val="p"/>
                          </m:rPr>
                          <w:rPr>
                            <w:rFonts w:ascii="Cambria Math" w:hAnsi="Cambria Math" w:cstheme="minorHAnsi"/>
                          </w:rPr>
                          <m:t>,</m:t>
                        </m:r>
                        <m:r>
                          <m:rPr>
                            <m:sty m:val="bi"/>
                          </m:rPr>
                          <w:rPr>
                            <w:rFonts w:ascii="Cambria Math" w:hAnsi="Cambria Math" w:cstheme="minorHAnsi"/>
                          </w:rPr>
                          <m:t>r</m:t>
                        </m:r>
                        <m:r>
                          <m:rPr>
                            <m:sty m:val="p"/>
                          </m:rPr>
                          <w:rPr>
                            <w:rFonts w:ascii="Cambria Math" w:hAnsi="Cambria Math" w:cstheme="minorHAnsi"/>
                          </w:rPr>
                          <m:t>,</m:t>
                        </m:r>
                        <m:r>
                          <m:rPr>
                            <m:sty m:val="bi"/>
                          </m:rPr>
                          <w:rPr>
                            <w:rFonts w:ascii="Cambria Math" w:hAnsi="Cambria Math" w:cstheme="minorHAnsi"/>
                          </w:rPr>
                          <m:t>t</m:t>
                        </m:r>
                      </m:sub>
                    </m:sSub>
                  </m:e>
                </m:nary>
              </m:den>
            </m:f>
          </m:e>
        </m:d>
        <m:r>
          <m:rPr>
            <m:sty m:val="p"/>
          </m:rPr>
          <w:rPr>
            <w:rFonts w:ascii="Cambria Math" w:hAnsi="Cambria Math" w:cstheme="minorHAnsi"/>
          </w:rPr>
          <m:t>*100</m:t>
        </m:r>
      </m:oMath>
      <w:r w:rsidR="00696B34" w:rsidRPr="00A55A51">
        <w:rPr>
          <w:rFonts w:cstheme="minorHAnsi"/>
        </w:rPr>
        <w:t xml:space="preserve"> </w:t>
      </w:r>
      <w:r w:rsidR="00696B34" w:rsidRPr="00A55A51">
        <w:rPr>
          <w:rFonts w:cstheme="minorHAnsi"/>
        </w:rPr>
        <w:tab/>
      </w:r>
      <w:r w:rsidR="00696B34" w:rsidRPr="00A55A51">
        <w:rPr>
          <w:rFonts w:cstheme="minorHAnsi"/>
        </w:rPr>
        <w:tab/>
      </w:r>
      <w:r w:rsidR="00696B34" w:rsidRPr="00A55A51">
        <w:rPr>
          <w:rFonts w:cstheme="minorHAnsi"/>
        </w:rPr>
        <w:tab/>
      </w:r>
      <w:r w:rsidR="00696B34" w:rsidRPr="00A55A51">
        <w:rPr>
          <w:rFonts w:cstheme="minorHAnsi"/>
        </w:rPr>
        <w:tab/>
      </w:r>
      <w:r w:rsidR="00696B34" w:rsidRPr="00A55A51">
        <w:rPr>
          <w:rFonts w:cstheme="minorHAnsi"/>
        </w:rPr>
        <w:tab/>
      </w:r>
      <w:r w:rsidR="00696B34" w:rsidRPr="00A55A51">
        <w:rPr>
          <w:rFonts w:cstheme="minorHAnsi"/>
        </w:rPr>
        <w:tab/>
        <w:t>(</w:t>
      </w:r>
      <w:r w:rsidR="006610DA">
        <w:rPr>
          <w:rFonts w:cstheme="minorHAnsi"/>
        </w:rPr>
        <w:t>7</w:t>
      </w:r>
      <w:r w:rsidR="00696B34" w:rsidRPr="00A55A51">
        <w:rPr>
          <w:rFonts w:cstheme="minorHAnsi"/>
        </w:rPr>
        <w:t>)</w:t>
      </w:r>
    </w:p>
    <w:p w14:paraId="2C389C20" w14:textId="77777777" w:rsidR="00696B34" w:rsidRPr="00A55A51" w:rsidRDefault="00696B34" w:rsidP="00696B34">
      <w:pPr>
        <w:jc w:val="both"/>
        <w:rPr>
          <w:rFonts w:cstheme="minorHAnsi"/>
        </w:rPr>
      </w:pPr>
    </w:p>
    <w:p w14:paraId="12CA397D" w14:textId="77777777" w:rsidR="00696B34" w:rsidRPr="00A55A51" w:rsidRDefault="00696B34" w:rsidP="00696B34">
      <w:pPr>
        <w:spacing w:line="360" w:lineRule="auto"/>
        <w:jc w:val="both"/>
        <w:rPr>
          <w:rFonts w:cstheme="minorHAnsi"/>
        </w:rPr>
      </w:pPr>
      <w:r w:rsidRPr="00A55A51">
        <w:rPr>
          <w:rFonts w:cstheme="minorHAnsi"/>
        </w:rPr>
        <w:t xml:space="preserve">where </w:t>
      </w:r>
      <w:r w:rsidRPr="00A55A51">
        <w:rPr>
          <w:rFonts w:cstheme="minorHAnsi"/>
          <w:i/>
          <w:iCs/>
        </w:rPr>
        <w:t>X</w:t>
      </w:r>
      <w:r w:rsidRPr="00A55A51">
        <w:rPr>
          <w:rFonts w:cstheme="minorHAnsi"/>
        </w:rPr>
        <w:t xml:space="preserve"> is the transfers made with policy instrument </w:t>
      </w:r>
      <w:r w:rsidRPr="00A55A51">
        <w:rPr>
          <w:rFonts w:cstheme="minorHAnsi"/>
          <w:i/>
          <w:iCs/>
        </w:rPr>
        <w:t>s</w:t>
      </w:r>
      <w:r w:rsidRPr="00A55A51">
        <w:rPr>
          <w:rFonts w:cstheme="minorHAnsi"/>
        </w:rPr>
        <w:t xml:space="preserve"> from consumers or taxpayers to producers and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irt</m:t>
            </m:r>
          </m:sub>
        </m:sSub>
      </m:oMath>
      <w:r w:rsidRPr="00A55A51">
        <w:rPr>
          <w:rFonts w:cstheme="minorHAnsi"/>
        </w:rPr>
        <w:t xml:space="preserve"> is the value of production valued at external reference prices for commodity </w:t>
      </w:r>
      <w:r w:rsidRPr="00A55A51">
        <w:rPr>
          <w:rFonts w:cstheme="minorHAnsi"/>
          <w:i/>
          <w:iCs/>
        </w:rPr>
        <w:t>i</w:t>
      </w:r>
      <w:r w:rsidRPr="00A55A51">
        <w:rPr>
          <w:rFonts w:cstheme="minorHAnsi"/>
        </w:rPr>
        <w:t xml:space="preserve">, in country </w:t>
      </w:r>
      <w:r w:rsidRPr="00A55A51">
        <w:rPr>
          <w:rFonts w:cstheme="minorHAnsi"/>
          <w:i/>
          <w:iCs/>
        </w:rPr>
        <w:t>r</w:t>
      </w:r>
      <w:r w:rsidRPr="00A55A51">
        <w:rPr>
          <w:rFonts w:cstheme="minorHAnsi"/>
        </w:rPr>
        <w:t xml:space="preserve">, and year </w:t>
      </w:r>
      <w:r w:rsidRPr="00A55A51">
        <w:rPr>
          <w:rFonts w:cstheme="minorHAnsi"/>
          <w:i/>
          <w:iCs/>
        </w:rPr>
        <w:t xml:space="preserve">t. </w:t>
      </w:r>
      <w:r w:rsidRPr="00A55A51">
        <w:rPr>
          <w:rFonts w:cstheme="minorHAnsi"/>
        </w:rPr>
        <w:t xml:space="preserve">The classification by policy instrument follows that used in the OECD’s PSE manual, with support from border measures (A1 in Table 2) distinguished from subsidies on output (A2), subsidies on inputs (B) and “other” subsidies (C to G). </w:t>
      </w:r>
    </w:p>
    <w:p w14:paraId="279D5BA5" w14:textId="63A71EED" w:rsidR="00696B34" w:rsidRPr="00A55A51" w:rsidRDefault="00696B34" w:rsidP="00EA1ACF">
      <w:pPr>
        <w:spacing w:line="360" w:lineRule="auto"/>
        <w:jc w:val="both"/>
        <w:rPr>
          <w:rFonts w:eastAsiaTheme="majorEastAsia" w:cstheme="minorHAnsi"/>
          <w:b/>
          <w:iCs/>
        </w:rPr>
      </w:pPr>
      <w:r w:rsidRPr="00A55A51">
        <w:rPr>
          <w:rFonts w:cstheme="minorHAnsi"/>
        </w:rPr>
        <w:t xml:space="preserve">In Table 2, we summarize various components of the NRA, with the types of policy interventions represented by rows and the commodities by columns. In this table, we present the full OECD classification of support along the rows. As shown in the final column of the table, the AgIncentives NRA measures aggregate OECD categories C to </w:t>
      </w:r>
      <w:proofErr w:type="spellStart"/>
      <w:r w:rsidRPr="00A55A51">
        <w:rPr>
          <w:rFonts w:cstheme="minorHAnsi"/>
        </w:rPr>
        <w:t>G</w:t>
      </w:r>
      <w:proofErr w:type="spellEnd"/>
      <w:r w:rsidRPr="00A55A51">
        <w:rPr>
          <w:rFonts w:cstheme="minorHAnsi"/>
        </w:rPr>
        <w:t xml:space="preserve"> into a single aggregate for “Other” support, as well as payments that can be attributed to commodity output. Table 2 highlights the presence of payments—such as fertilizer subsidies—that cannot be allocated to individual agricultural commodities. Another set of policy interventions that could, in principle, be allocated to individual commodities are made to non-Market Price Support (non-MPS) commodities for which estimates of policy transfers resulting from trade policies are not available</w:t>
      </w:r>
      <w:r w:rsidRPr="00A55A51">
        <w:rPr>
          <w:rStyle w:val="FootnoteReference"/>
          <w:rFonts w:cstheme="minorHAnsi"/>
        </w:rPr>
        <w:footnoteReference w:id="2"/>
      </w:r>
      <w:r w:rsidRPr="00A55A51">
        <w:rPr>
          <w:rFonts w:cstheme="minorHAnsi"/>
        </w:rPr>
        <w:t>.</w:t>
      </w:r>
      <w:r w:rsidR="00EA1ACF" w:rsidRPr="00A55A51">
        <w:rPr>
          <w:rFonts w:cstheme="minorHAnsi"/>
        </w:rPr>
        <w:t xml:space="preserve"> </w:t>
      </w:r>
      <w:bookmarkStart w:id="13" w:name="_Ref110244028"/>
      <w:bookmarkStart w:id="14" w:name="_Toc92694630"/>
    </w:p>
    <w:p w14:paraId="5AD18C00" w14:textId="0F0AAC6A" w:rsidR="00696B34" w:rsidRPr="00A55A51" w:rsidRDefault="0027774F" w:rsidP="0027774F">
      <w:pPr>
        <w:pStyle w:val="Caption"/>
        <w:rPr>
          <w:rFonts w:asciiTheme="minorHAnsi" w:hAnsiTheme="minorHAnsi" w:cstheme="minorHAnsi"/>
          <w:b w:val="0"/>
          <w:i/>
          <w:iCs w:val="0"/>
          <w:color w:val="auto"/>
          <w:szCs w:val="24"/>
        </w:rPr>
      </w:pPr>
      <w:bookmarkStart w:id="15" w:name="_Toc195128497"/>
      <w:r>
        <w:lastRenderedPageBreak/>
        <w:t xml:space="preserve">Table </w:t>
      </w:r>
      <w:fldSimple w:instr=" SEQ Table \* ARABIC ">
        <w:r>
          <w:rPr>
            <w:noProof/>
          </w:rPr>
          <w:t>2</w:t>
        </w:r>
      </w:fldSimple>
      <w:bookmarkEnd w:id="13"/>
      <w:r w:rsidR="00696B34" w:rsidRPr="0027774F">
        <w:rPr>
          <w:rFonts w:asciiTheme="minorHAnsi" w:hAnsiTheme="minorHAnsi" w:cstheme="minorHAnsi"/>
          <w:b w:val="0"/>
          <w:iCs w:val="0"/>
          <w:color w:val="auto"/>
          <w:szCs w:val="24"/>
        </w:rPr>
        <w:t>: General classification of payment categories and NRA indicators</w:t>
      </w:r>
      <w:bookmarkEnd w:id="15"/>
      <w:r w:rsidR="00696B34" w:rsidRPr="00A55A51">
        <w:rPr>
          <w:rFonts w:asciiTheme="minorHAnsi" w:hAnsiTheme="minorHAnsi" w:cstheme="minorHAnsi"/>
          <w:iCs w:val="0"/>
          <w:color w:val="auto"/>
          <w:szCs w:val="24"/>
        </w:rPr>
        <w:t xml:space="preserve"> </w:t>
      </w:r>
      <w:bookmarkEnd w:id="14"/>
      <w:r w:rsidR="00696B34" w:rsidRPr="00A55A51">
        <w:rPr>
          <w:rFonts w:asciiTheme="minorHAnsi" w:hAnsiTheme="minorHAnsi" w:cstheme="minorHAnsi"/>
          <w:iCs w:val="0"/>
          <w:color w:val="auto"/>
          <w:szCs w:val="24"/>
        </w:rPr>
        <w:t xml:space="preserve"> </w:t>
      </w:r>
    </w:p>
    <w:tbl>
      <w:tblPr>
        <w:tblStyle w:val="TableGrid"/>
        <w:tblW w:w="10165" w:type="dxa"/>
        <w:tblLayout w:type="fixed"/>
        <w:tblLook w:val="04A0" w:firstRow="1" w:lastRow="0" w:firstColumn="1" w:lastColumn="0" w:noHBand="0" w:noVBand="1"/>
      </w:tblPr>
      <w:tblGrid>
        <w:gridCol w:w="2167"/>
        <w:gridCol w:w="978"/>
        <w:gridCol w:w="900"/>
        <w:gridCol w:w="1350"/>
        <w:gridCol w:w="1170"/>
        <w:gridCol w:w="2250"/>
        <w:gridCol w:w="1350"/>
      </w:tblGrid>
      <w:tr w:rsidR="00696B34" w:rsidRPr="00A55A51" w14:paraId="4E7201AA" w14:textId="77777777" w:rsidTr="00FE4390">
        <w:trPr>
          <w:trHeight w:val="432"/>
          <w:tblHeader/>
        </w:trPr>
        <w:tc>
          <w:tcPr>
            <w:tcW w:w="2167" w:type="dxa"/>
            <w:vAlign w:val="center"/>
          </w:tcPr>
          <w:p w14:paraId="33F4CBA5" w14:textId="77777777" w:rsidR="00696B34" w:rsidRPr="00A55A51" w:rsidRDefault="00696B34" w:rsidP="00FE4390">
            <w:pPr>
              <w:rPr>
                <w:rFonts w:cstheme="minorHAnsi"/>
                <w:b/>
                <w:bCs/>
              </w:rPr>
            </w:pPr>
            <w:r w:rsidRPr="00A55A51">
              <w:rPr>
                <w:rFonts w:cstheme="minorHAnsi"/>
                <w:b/>
                <w:bCs/>
              </w:rPr>
              <w:t>Policy Categories</w:t>
            </w:r>
          </w:p>
        </w:tc>
        <w:tc>
          <w:tcPr>
            <w:tcW w:w="978" w:type="dxa"/>
            <w:vAlign w:val="center"/>
          </w:tcPr>
          <w:p w14:paraId="51354525" w14:textId="77777777" w:rsidR="00696B34" w:rsidRPr="00A55A51" w:rsidRDefault="00696B34" w:rsidP="00FE4390">
            <w:pPr>
              <w:jc w:val="center"/>
              <w:rPr>
                <w:rFonts w:cstheme="minorHAnsi"/>
                <w:b/>
                <w:bCs/>
              </w:rPr>
            </w:pPr>
            <w:r w:rsidRPr="00A55A51">
              <w:rPr>
                <w:rFonts w:cstheme="minorHAnsi"/>
                <w:b/>
                <w:bCs/>
                <w:kern w:val="24"/>
              </w:rPr>
              <w:t>Com. 1</w:t>
            </w:r>
          </w:p>
        </w:tc>
        <w:tc>
          <w:tcPr>
            <w:tcW w:w="900" w:type="dxa"/>
            <w:vAlign w:val="center"/>
          </w:tcPr>
          <w:p w14:paraId="03AA6BDF" w14:textId="77777777" w:rsidR="00696B34" w:rsidRPr="00A55A51" w:rsidRDefault="00696B34" w:rsidP="00FE4390">
            <w:pPr>
              <w:jc w:val="center"/>
              <w:rPr>
                <w:rFonts w:cstheme="minorHAnsi"/>
                <w:b/>
                <w:bCs/>
              </w:rPr>
            </w:pPr>
            <w:r w:rsidRPr="00A55A51">
              <w:rPr>
                <w:rFonts w:cstheme="minorHAnsi"/>
                <w:b/>
                <w:bCs/>
                <w:kern w:val="24"/>
              </w:rPr>
              <w:t>Com. 2</w:t>
            </w:r>
          </w:p>
        </w:tc>
        <w:tc>
          <w:tcPr>
            <w:tcW w:w="1350" w:type="dxa"/>
            <w:vAlign w:val="center"/>
          </w:tcPr>
          <w:p w14:paraId="3BF8EBCE" w14:textId="77777777" w:rsidR="00696B34" w:rsidRPr="00A55A51" w:rsidRDefault="00696B34" w:rsidP="00FE4390">
            <w:pPr>
              <w:jc w:val="center"/>
              <w:rPr>
                <w:rFonts w:cstheme="minorHAnsi"/>
                <w:b/>
                <w:bCs/>
              </w:rPr>
            </w:pPr>
            <w:r w:rsidRPr="00A55A51">
              <w:rPr>
                <w:rFonts w:cstheme="minorHAnsi"/>
                <w:b/>
                <w:bCs/>
                <w:kern w:val="24"/>
              </w:rPr>
              <w:t>Group x</w:t>
            </w:r>
          </w:p>
        </w:tc>
        <w:tc>
          <w:tcPr>
            <w:tcW w:w="1170" w:type="dxa"/>
            <w:vAlign w:val="center"/>
          </w:tcPr>
          <w:p w14:paraId="577B149A" w14:textId="77777777" w:rsidR="00696B34" w:rsidRPr="00A55A51" w:rsidRDefault="00696B34" w:rsidP="00FE4390">
            <w:pPr>
              <w:jc w:val="center"/>
              <w:rPr>
                <w:rFonts w:cstheme="minorHAnsi"/>
                <w:b/>
                <w:bCs/>
              </w:rPr>
            </w:pPr>
            <w:r w:rsidRPr="00A55A51">
              <w:rPr>
                <w:rFonts w:cstheme="minorHAnsi"/>
                <w:b/>
                <w:bCs/>
                <w:kern w:val="24"/>
              </w:rPr>
              <w:t>Non-MPS</w:t>
            </w:r>
          </w:p>
        </w:tc>
        <w:tc>
          <w:tcPr>
            <w:tcW w:w="2250" w:type="dxa"/>
            <w:vAlign w:val="center"/>
          </w:tcPr>
          <w:p w14:paraId="27D23ED3" w14:textId="77777777" w:rsidR="00696B34" w:rsidRPr="00A55A51" w:rsidRDefault="00696B34" w:rsidP="00FE4390">
            <w:pPr>
              <w:jc w:val="center"/>
              <w:rPr>
                <w:rFonts w:cstheme="minorHAnsi"/>
                <w:b/>
                <w:bCs/>
              </w:rPr>
            </w:pPr>
            <w:r w:rsidRPr="00A55A51">
              <w:rPr>
                <w:rFonts w:cstheme="minorHAnsi"/>
                <w:b/>
                <w:bCs/>
                <w:kern w:val="24"/>
              </w:rPr>
              <w:t>Unallocated</w:t>
            </w:r>
          </w:p>
        </w:tc>
        <w:tc>
          <w:tcPr>
            <w:tcW w:w="1350" w:type="dxa"/>
            <w:vAlign w:val="center"/>
          </w:tcPr>
          <w:p w14:paraId="47C0E730" w14:textId="77777777" w:rsidR="00696B34" w:rsidRPr="00A55A51" w:rsidRDefault="00696B34" w:rsidP="00FE4390">
            <w:pPr>
              <w:jc w:val="center"/>
              <w:rPr>
                <w:rFonts w:cstheme="minorHAnsi"/>
                <w:b/>
                <w:bCs/>
              </w:rPr>
            </w:pPr>
            <w:r w:rsidRPr="00A55A51">
              <w:rPr>
                <w:rFonts w:eastAsia="SimHei" w:cstheme="minorHAnsi"/>
                <w:b/>
                <w:bCs/>
                <w:kern w:val="24"/>
              </w:rPr>
              <w:t>Total</w:t>
            </w:r>
          </w:p>
        </w:tc>
      </w:tr>
      <w:tr w:rsidR="00696B34" w:rsidRPr="00A55A51" w14:paraId="1A5A0059" w14:textId="77777777" w:rsidTr="00FE4390">
        <w:tc>
          <w:tcPr>
            <w:tcW w:w="2167" w:type="dxa"/>
            <w:vAlign w:val="center"/>
          </w:tcPr>
          <w:p w14:paraId="06B6BFD0" w14:textId="77777777" w:rsidR="00696B34" w:rsidRPr="00A55A51" w:rsidRDefault="00696B34" w:rsidP="00FE4390">
            <w:pPr>
              <w:rPr>
                <w:rFonts w:cstheme="minorHAnsi"/>
              </w:rPr>
            </w:pPr>
            <w:r w:rsidRPr="00A55A51">
              <w:rPr>
                <w:rFonts w:cstheme="minorHAnsi"/>
                <w:kern w:val="24"/>
              </w:rPr>
              <w:t>A1. Market Price Support</w:t>
            </w:r>
          </w:p>
        </w:tc>
        <w:tc>
          <w:tcPr>
            <w:tcW w:w="978" w:type="dxa"/>
            <w:vAlign w:val="center"/>
          </w:tcPr>
          <w:p w14:paraId="2BE93501" w14:textId="77777777" w:rsidR="00696B34" w:rsidRPr="00A55A51" w:rsidRDefault="00696B34" w:rsidP="00FE4390">
            <w:pPr>
              <w:jc w:val="center"/>
              <w:rPr>
                <w:rFonts w:cstheme="minorHAnsi"/>
              </w:rPr>
            </w:pPr>
            <w:r w:rsidRPr="00A55A51">
              <w:rPr>
                <w:rFonts w:cstheme="minorHAnsi"/>
                <w:kern w:val="24"/>
              </w:rPr>
              <w:t>NRP</w:t>
            </w:r>
            <w:r w:rsidRPr="00A55A51">
              <w:rPr>
                <w:rFonts w:cstheme="minorHAnsi"/>
                <w:kern w:val="24"/>
                <w:position w:val="-6"/>
                <w:vertAlign w:val="subscript"/>
              </w:rPr>
              <w:t>1</w:t>
            </w:r>
          </w:p>
        </w:tc>
        <w:tc>
          <w:tcPr>
            <w:tcW w:w="900" w:type="dxa"/>
            <w:vAlign w:val="center"/>
          </w:tcPr>
          <w:p w14:paraId="2CA321CF" w14:textId="77777777" w:rsidR="00696B34" w:rsidRPr="00A55A51" w:rsidRDefault="00696B34" w:rsidP="00FE4390">
            <w:pPr>
              <w:jc w:val="center"/>
              <w:rPr>
                <w:rFonts w:cstheme="minorHAnsi"/>
              </w:rPr>
            </w:pPr>
            <w:r w:rsidRPr="00A55A51">
              <w:rPr>
                <w:rFonts w:cstheme="minorHAnsi"/>
                <w:kern w:val="24"/>
              </w:rPr>
              <w:t>NRP</w:t>
            </w:r>
            <w:r w:rsidRPr="00A55A51">
              <w:rPr>
                <w:rFonts w:cstheme="minorHAnsi"/>
                <w:kern w:val="24"/>
                <w:position w:val="-6"/>
                <w:vertAlign w:val="subscript"/>
              </w:rPr>
              <w:t>2</w:t>
            </w:r>
          </w:p>
        </w:tc>
        <w:tc>
          <w:tcPr>
            <w:tcW w:w="1350" w:type="dxa"/>
            <w:vAlign w:val="center"/>
          </w:tcPr>
          <w:p w14:paraId="0954CFC1" w14:textId="77777777" w:rsidR="00696B34" w:rsidRPr="00A55A51" w:rsidRDefault="00696B34" w:rsidP="00FE4390">
            <w:pPr>
              <w:jc w:val="center"/>
              <w:rPr>
                <w:rFonts w:cstheme="minorHAnsi"/>
                <w:vertAlign w:val="subscript"/>
              </w:rPr>
            </w:pPr>
            <w:proofErr w:type="spellStart"/>
            <w:r w:rsidRPr="00A55A51">
              <w:rPr>
                <w:rFonts w:cstheme="minorHAnsi"/>
                <w:kern w:val="24"/>
              </w:rPr>
              <w:t>NRP</w:t>
            </w:r>
            <w:r w:rsidRPr="00A55A51">
              <w:rPr>
                <w:rFonts w:cstheme="minorHAnsi"/>
                <w:kern w:val="24"/>
                <w:vertAlign w:val="subscript"/>
              </w:rPr>
              <w:t>x</w:t>
            </w:r>
            <w:proofErr w:type="spellEnd"/>
          </w:p>
        </w:tc>
        <w:tc>
          <w:tcPr>
            <w:tcW w:w="1170" w:type="dxa"/>
            <w:vAlign w:val="center"/>
          </w:tcPr>
          <w:p w14:paraId="15B2D284" w14:textId="77777777" w:rsidR="00696B34" w:rsidRPr="00A55A51" w:rsidRDefault="00696B34" w:rsidP="00FE4390">
            <w:pPr>
              <w:jc w:val="center"/>
              <w:rPr>
                <w:rFonts w:cstheme="minorHAnsi"/>
              </w:rPr>
            </w:pPr>
            <w:r w:rsidRPr="00A55A51">
              <w:rPr>
                <w:rFonts w:cstheme="minorHAnsi"/>
                <w:kern w:val="24"/>
              </w:rPr>
              <w:t>NRP</w:t>
            </w:r>
            <w:r w:rsidRPr="00A55A51">
              <w:rPr>
                <w:rFonts w:cstheme="minorHAnsi"/>
                <w:kern w:val="24"/>
                <w:position w:val="-6"/>
                <w:vertAlign w:val="subscript"/>
              </w:rPr>
              <w:t>XE</w:t>
            </w:r>
          </w:p>
        </w:tc>
        <w:tc>
          <w:tcPr>
            <w:tcW w:w="2250" w:type="dxa"/>
            <w:vAlign w:val="center"/>
          </w:tcPr>
          <w:p w14:paraId="0842DCA9" w14:textId="77777777" w:rsidR="00696B34" w:rsidRPr="00A55A51" w:rsidRDefault="00696B34" w:rsidP="00FE4390">
            <w:pPr>
              <w:jc w:val="center"/>
              <w:rPr>
                <w:rFonts w:cstheme="minorHAnsi"/>
              </w:rPr>
            </w:pPr>
          </w:p>
        </w:tc>
        <w:tc>
          <w:tcPr>
            <w:tcW w:w="1350" w:type="dxa"/>
            <w:vAlign w:val="center"/>
          </w:tcPr>
          <w:p w14:paraId="0817F68C" w14:textId="77777777" w:rsidR="00696B34" w:rsidRPr="00A55A51" w:rsidRDefault="00696B34" w:rsidP="00FE4390">
            <w:pPr>
              <w:jc w:val="center"/>
              <w:rPr>
                <w:rFonts w:cstheme="minorHAnsi"/>
              </w:rPr>
            </w:pPr>
            <w:r w:rsidRPr="00A55A51">
              <w:rPr>
                <w:rFonts w:cstheme="minorHAnsi"/>
                <w:kern w:val="24"/>
              </w:rPr>
              <w:t>NRP</w:t>
            </w:r>
            <w:r w:rsidRPr="00A55A51">
              <w:rPr>
                <w:rFonts w:cstheme="minorHAnsi"/>
                <w:kern w:val="24"/>
                <w:position w:val="-7"/>
                <w:vertAlign w:val="subscript"/>
              </w:rPr>
              <w:t>T</w:t>
            </w:r>
          </w:p>
        </w:tc>
      </w:tr>
      <w:tr w:rsidR="00696B34" w:rsidRPr="00A55A51" w14:paraId="6E50A671" w14:textId="77777777" w:rsidTr="00FE4390">
        <w:tc>
          <w:tcPr>
            <w:tcW w:w="2167" w:type="dxa"/>
            <w:vAlign w:val="center"/>
          </w:tcPr>
          <w:p w14:paraId="09CC259C" w14:textId="77777777" w:rsidR="00696B34" w:rsidRPr="00A55A51" w:rsidRDefault="00696B34" w:rsidP="00FE4390">
            <w:pPr>
              <w:rPr>
                <w:rFonts w:cstheme="minorHAnsi"/>
                <w:i/>
                <w:iCs/>
              </w:rPr>
            </w:pPr>
            <w:r w:rsidRPr="00A55A51">
              <w:rPr>
                <w:rFonts w:cstheme="minorHAnsi"/>
                <w:i/>
                <w:iCs/>
                <w:kern w:val="24"/>
              </w:rPr>
              <w:t>A2. Payments based on output</w:t>
            </w:r>
          </w:p>
        </w:tc>
        <w:tc>
          <w:tcPr>
            <w:tcW w:w="978" w:type="dxa"/>
            <w:vAlign w:val="center"/>
          </w:tcPr>
          <w:p w14:paraId="77CB8BE3" w14:textId="77777777" w:rsidR="00696B34" w:rsidRPr="00A55A51" w:rsidRDefault="00696B34" w:rsidP="00FE4390">
            <w:pPr>
              <w:jc w:val="center"/>
              <w:rPr>
                <w:rFonts w:cstheme="minorHAnsi"/>
              </w:rPr>
            </w:pPr>
          </w:p>
        </w:tc>
        <w:tc>
          <w:tcPr>
            <w:tcW w:w="900" w:type="dxa"/>
            <w:vAlign w:val="center"/>
          </w:tcPr>
          <w:p w14:paraId="56C288D6" w14:textId="77777777" w:rsidR="00696B34" w:rsidRPr="00A55A51" w:rsidRDefault="00696B34" w:rsidP="00FE4390">
            <w:pPr>
              <w:jc w:val="center"/>
              <w:rPr>
                <w:rFonts w:cstheme="minorHAnsi"/>
              </w:rPr>
            </w:pPr>
          </w:p>
        </w:tc>
        <w:tc>
          <w:tcPr>
            <w:tcW w:w="1350" w:type="dxa"/>
            <w:vAlign w:val="center"/>
          </w:tcPr>
          <w:p w14:paraId="00085FE0" w14:textId="77777777" w:rsidR="00696B34" w:rsidRPr="00A55A51" w:rsidRDefault="00696B34" w:rsidP="00FE4390">
            <w:pPr>
              <w:jc w:val="center"/>
              <w:rPr>
                <w:rFonts w:cstheme="minorHAnsi"/>
              </w:rPr>
            </w:pPr>
          </w:p>
          <w:p w14:paraId="5C52B797" w14:textId="77777777" w:rsidR="00696B34" w:rsidRPr="00A55A51" w:rsidRDefault="00696B34" w:rsidP="00FE4390">
            <w:pPr>
              <w:jc w:val="center"/>
              <w:rPr>
                <w:rFonts w:cstheme="minorHAnsi"/>
              </w:rPr>
            </w:pPr>
          </w:p>
        </w:tc>
        <w:tc>
          <w:tcPr>
            <w:tcW w:w="1170" w:type="dxa"/>
            <w:vAlign w:val="center"/>
          </w:tcPr>
          <w:p w14:paraId="6C5A03EE" w14:textId="77777777" w:rsidR="00696B34" w:rsidRPr="00A55A51" w:rsidRDefault="00696B34" w:rsidP="00FE4390">
            <w:pPr>
              <w:jc w:val="center"/>
              <w:rPr>
                <w:rFonts w:cstheme="minorHAnsi"/>
              </w:rPr>
            </w:pPr>
          </w:p>
        </w:tc>
        <w:tc>
          <w:tcPr>
            <w:tcW w:w="2250" w:type="dxa"/>
            <w:vAlign w:val="center"/>
          </w:tcPr>
          <w:p w14:paraId="5455B466" w14:textId="77777777" w:rsidR="00696B34" w:rsidRPr="00A55A51" w:rsidRDefault="00696B34" w:rsidP="00FE4390">
            <w:pPr>
              <w:jc w:val="center"/>
              <w:rPr>
                <w:rFonts w:cstheme="minorHAnsi"/>
              </w:rPr>
            </w:pPr>
          </w:p>
        </w:tc>
        <w:tc>
          <w:tcPr>
            <w:tcW w:w="1350" w:type="dxa"/>
            <w:vAlign w:val="center"/>
          </w:tcPr>
          <w:p w14:paraId="76F69F78" w14:textId="77777777" w:rsidR="00696B34" w:rsidRPr="00A55A51" w:rsidRDefault="00696B34" w:rsidP="00FE4390">
            <w:pPr>
              <w:jc w:val="center"/>
              <w:rPr>
                <w:rFonts w:cstheme="minorHAnsi"/>
              </w:rPr>
            </w:pPr>
            <w:r w:rsidRPr="00A55A51">
              <w:rPr>
                <w:rFonts w:cstheme="minorHAnsi"/>
                <w:kern w:val="24"/>
              </w:rPr>
              <w:t>NRA_Output</w:t>
            </w:r>
          </w:p>
        </w:tc>
      </w:tr>
      <w:tr w:rsidR="00696B34" w:rsidRPr="00A55A51" w14:paraId="189DEA30" w14:textId="77777777" w:rsidTr="00FE4390">
        <w:tc>
          <w:tcPr>
            <w:tcW w:w="2167" w:type="dxa"/>
            <w:vAlign w:val="center"/>
          </w:tcPr>
          <w:p w14:paraId="270E33F7" w14:textId="77777777" w:rsidR="00696B34" w:rsidRPr="00A55A51" w:rsidRDefault="00696B34" w:rsidP="00FE4390">
            <w:pPr>
              <w:rPr>
                <w:rFonts w:cstheme="minorHAnsi"/>
              </w:rPr>
            </w:pPr>
            <w:r w:rsidRPr="00A55A51">
              <w:rPr>
                <w:rFonts w:cstheme="minorHAnsi"/>
                <w:i/>
                <w:iCs/>
                <w:kern w:val="24"/>
              </w:rPr>
              <w:t>B. Payments based on input use</w:t>
            </w:r>
          </w:p>
        </w:tc>
        <w:tc>
          <w:tcPr>
            <w:tcW w:w="978" w:type="dxa"/>
            <w:vAlign w:val="center"/>
          </w:tcPr>
          <w:p w14:paraId="66EC4865" w14:textId="77777777" w:rsidR="00696B34" w:rsidRPr="00A55A51" w:rsidRDefault="00696B34" w:rsidP="00FE4390">
            <w:pPr>
              <w:jc w:val="center"/>
              <w:rPr>
                <w:rFonts w:cstheme="minorHAnsi"/>
              </w:rPr>
            </w:pPr>
          </w:p>
        </w:tc>
        <w:tc>
          <w:tcPr>
            <w:tcW w:w="900" w:type="dxa"/>
            <w:vAlign w:val="center"/>
          </w:tcPr>
          <w:p w14:paraId="11A23757" w14:textId="77777777" w:rsidR="00696B34" w:rsidRPr="00A55A51" w:rsidRDefault="00696B34" w:rsidP="00FE4390">
            <w:pPr>
              <w:jc w:val="center"/>
              <w:rPr>
                <w:rFonts w:cstheme="minorHAnsi"/>
              </w:rPr>
            </w:pPr>
          </w:p>
        </w:tc>
        <w:tc>
          <w:tcPr>
            <w:tcW w:w="1350" w:type="dxa"/>
            <w:vAlign w:val="center"/>
          </w:tcPr>
          <w:p w14:paraId="1731C69F" w14:textId="77777777" w:rsidR="00696B34" w:rsidRPr="00A55A51" w:rsidRDefault="00696B34" w:rsidP="00FE4390">
            <w:pPr>
              <w:jc w:val="center"/>
              <w:rPr>
                <w:rFonts w:cstheme="minorHAnsi"/>
              </w:rPr>
            </w:pPr>
          </w:p>
          <w:p w14:paraId="6B9D7636" w14:textId="77777777" w:rsidR="00696B34" w:rsidRPr="00A55A51" w:rsidRDefault="00696B34" w:rsidP="00FE4390">
            <w:pPr>
              <w:jc w:val="center"/>
              <w:rPr>
                <w:rFonts w:cstheme="minorHAnsi"/>
              </w:rPr>
            </w:pPr>
          </w:p>
        </w:tc>
        <w:tc>
          <w:tcPr>
            <w:tcW w:w="1170" w:type="dxa"/>
            <w:vAlign w:val="center"/>
          </w:tcPr>
          <w:p w14:paraId="12CCD527" w14:textId="77777777" w:rsidR="00696B34" w:rsidRPr="00A55A51" w:rsidRDefault="00696B34" w:rsidP="00FE4390">
            <w:pPr>
              <w:jc w:val="center"/>
              <w:rPr>
                <w:rFonts w:cstheme="minorHAnsi"/>
              </w:rPr>
            </w:pPr>
          </w:p>
        </w:tc>
        <w:tc>
          <w:tcPr>
            <w:tcW w:w="2250" w:type="dxa"/>
            <w:vAlign w:val="center"/>
          </w:tcPr>
          <w:p w14:paraId="571A036C" w14:textId="77777777" w:rsidR="00696B34" w:rsidRPr="00A55A51" w:rsidRDefault="00696B34" w:rsidP="00FE4390">
            <w:pPr>
              <w:jc w:val="center"/>
              <w:rPr>
                <w:rFonts w:cstheme="minorHAnsi"/>
              </w:rPr>
            </w:pPr>
          </w:p>
        </w:tc>
        <w:tc>
          <w:tcPr>
            <w:tcW w:w="1350" w:type="dxa"/>
            <w:vAlign w:val="center"/>
          </w:tcPr>
          <w:p w14:paraId="1C02204D" w14:textId="77777777" w:rsidR="00696B34" w:rsidRPr="00A55A51" w:rsidRDefault="00696B34" w:rsidP="00FE4390">
            <w:pPr>
              <w:jc w:val="center"/>
              <w:rPr>
                <w:rFonts w:cstheme="minorHAnsi"/>
              </w:rPr>
            </w:pPr>
            <w:r w:rsidRPr="00A55A51">
              <w:rPr>
                <w:rFonts w:cstheme="minorHAnsi"/>
              </w:rPr>
              <w:t>NRA_Input</w:t>
            </w:r>
          </w:p>
        </w:tc>
      </w:tr>
      <w:tr w:rsidR="00696B34" w:rsidRPr="00A55A51" w14:paraId="6EEB46CD" w14:textId="77777777" w:rsidTr="00FE4390">
        <w:tc>
          <w:tcPr>
            <w:tcW w:w="2167" w:type="dxa"/>
            <w:vAlign w:val="center"/>
          </w:tcPr>
          <w:p w14:paraId="7D2E0076" w14:textId="77777777" w:rsidR="00696B34" w:rsidRPr="00A55A51" w:rsidRDefault="00696B34" w:rsidP="00FE4390">
            <w:pPr>
              <w:rPr>
                <w:rFonts w:cstheme="minorHAnsi"/>
              </w:rPr>
            </w:pPr>
            <w:r w:rsidRPr="00A55A51">
              <w:rPr>
                <w:rFonts w:cstheme="minorHAnsi"/>
                <w:i/>
                <w:iCs/>
                <w:kern w:val="24"/>
              </w:rPr>
              <w:t>C. Payments based on current C. A/An/R/I, production required</w:t>
            </w:r>
          </w:p>
        </w:tc>
        <w:tc>
          <w:tcPr>
            <w:tcW w:w="978" w:type="dxa"/>
            <w:vAlign w:val="center"/>
          </w:tcPr>
          <w:p w14:paraId="68D4A494" w14:textId="77777777" w:rsidR="00696B34" w:rsidRPr="00A55A51" w:rsidRDefault="00696B34" w:rsidP="00FE4390">
            <w:pPr>
              <w:jc w:val="center"/>
              <w:rPr>
                <w:rFonts w:cstheme="minorHAnsi"/>
              </w:rPr>
            </w:pPr>
          </w:p>
        </w:tc>
        <w:tc>
          <w:tcPr>
            <w:tcW w:w="900" w:type="dxa"/>
            <w:vAlign w:val="center"/>
          </w:tcPr>
          <w:p w14:paraId="40BAA964" w14:textId="77777777" w:rsidR="00696B34" w:rsidRPr="00A55A51" w:rsidRDefault="00696B34" w:rsidP="00FE4390">
            <w:pPr>
              <w:jc w:val="center"/>
              <w:rPr>
                <w:rFonts w:cstheme="minorHAnsi"/>
              </w:rPr>
            </w:pPr>
          </w:p>
        </w:tc>
        <w:tc>
          <w:tcPr>
            <w:tcW w:w="1350" w:type="dxa"/>
            <w:vAlign w:val="center"/>
          </w:tcPr>
          <w:p w14:paraId="5401432F" w14:textId="77777777" w:rsidR="00696B34" w:rsidRPr="00A55A51" w:rsidRDefault="00696B34" w:rsidP="00FE4390">
            <w:pPr>
              <w:jc w:val="center"/>
              <w:rPr>
                <w:rFonts w:cstheme="minorHAnsi"/>
              </w:rPr>
            </w:pPr>
          </w:p>
          <w:p w14:paraId="4F7B4474" w14:textId="77777777" w:rsidR="00696B34" w:rsidRPr="00A55A51" w:rsidRDefault="00696B34" w:rsidP="00FE4390">
            <w:pPr>
              <w:jc w:val="center"/>
              <w:rPr>
                <w:rFonts w:cstheme="minorHAnsi"/>
              </w:rPr>
            </w:pPr>
          </w:p>
        </w:tc>
        <w:tc>
          <w:tcPr>
            <w:tcW w:w="1170" w:type="dxa"/>
            <w:vAlign w:val="center"/>
          </w:tcPr>
          <w:p w14:paraId="46FE02F0" w14:textId="77777777" w:rsidR="00696B34" w:rsidRPr="00A55A51" w:rsidRDefault="00696B34" w:rsidP="00FE4390">
            <w:pPr>
              <w:jc w:val="center"/>
              <w:rPr>
                <w:rFonts w:cstheme="minorHAnsi"/>
              </w:rPr>
            </w:pPr>
          </w:p>
        </w:tc>
        <w:tc>
          <w:tcPr>
            <w:tcW w:w="2250" w:type="dxa"/>
            <w:vAlign w:val="center"/>
          </w:tcPr>
          <w:p w14:paraId="19C38123" w14:textId="77777777" w:rsidR="00696B34" w:rsidRPr="00A55A51" w:rsidRDefault="00696B34" w:rsidP="00FE4390">
            <w:pPr>
              <w:jc w:val="center"/>
              <w:rPr>
                <w:rFonts w:cstheme="minorHAnsi"/>
              </w:rPr>
            </w:pPr>
            <w:r w:rsidRPr="00A55A51">
              <w:rPr>
                <w:rFonts w:cstheme="minorHAnsi"/>
              </w:rPr>
              <w:t>Group commodity/sector</w:t>
            </w:r>
          </w:p>
        </w:tc>
        <w:tc>
          <w:tcPr>
            <w:tcW w:w="1350" w:type="dxa"/>
            <w:vMerge w:val="restart"/>
            <w:vAlign w:val="center"/>
          </w:tcPr>
          <w:p w14:paraId="7C3DEE48" w14:textId="77777777" w:rsidR="00696B34" w:rsidRPr="00A55A51" w:rsidRDefault="00696B34" w:rsidP="00FE4390">
            <w:pPr>
              <w:jc w:val="center"/>
              <w:rPr>
                <w:rFonts w:cstheme="minorHAnsi"/>
              </w:rPr>
            </w:pPr>
            <w:proofErr w:type="spellStart"/>
            <w:r w:rsidRPr="00A55A51">
              <w:rPr>
                <w:rFonts w:cstheme="minorHAnsi"/>
              </w:rPr>
              <w:t>NRA_Other</w:t>
            </w:r>
            <w:proofErr w:type="spellEnd"/>
          </w:p>
        </w:tc>
      </w:tr>
      <w:tr w:rsidR="00696B34" w:rsidRPr="00A55A51" w14:paraId="796AA547" w14:textId="77777777" w:rsidTr="00FE4390">
        <w:tc>
          <w:tcPr>
            <w:tcW w:w="2167" w:type="dxa"/>
            <w:vAlign w:val="center"/>
          </w:tcPr>
          <w:p w14:paraId="5308100C" w14:textId="77777777" w:rsidR="00696B34" w:rsidRPr="00A55A51" w:rsidRDefault="00696B34" w:rsidP="00FE4390">
            <w:pPr>
              <w:rPr>
                <w:rFonts w:cstheme="minorHAnsi"/>
              </w:rPr>
            </w:pPr>
            <w:r w:rsidRPr="00A55A51">
              <w:rPr>
                <w:rFonts w:cstheme="minorHAnsi"/>
                <w:i/>
                <w:iCs/>
                <w:kern w:val="24"/>
              </w:rPr>
              <w:t>D. Payments based on non-current A/An/R/I, production required</w:t>
            </w:r>
          </w:p>
        </w:tc>
        <w:tc>
          <w:tcPr>
            <w:tcW w:w="978" w:type="dxa"/>
            <w:vAlign w:val="center"/>
          </w:tcPr>
          <w:p w14:paraId="775C73A6" w14:textId="77777777" w:rsidR="00696B34" w:rsidRPr="00A55A51" w:rsidRDefault="00696B34" w:rsidP="00FE4390">
            <w:pPr>
              <w:jc w:val="center"/>
              <w:rPr>
                <w:rFonts w:cstheme="minorHAnsi"/>
              </w:rPr>
            </w:pPr>
          </w:p>
        </w:tc>
        <w:tc>
          <w:tcPr>
            <w:tcW w:w="900" w:type="dxa"/>
            <w:vAlign w:val="center"/>
          </w:tcPr>
          <w:p w14:paraId="30CD9899" w14:textId="77777777" w:rsidR="00696B34" w:rsidRPr="00A55A51" w:rsidRDefault="00696B34" w:rsidP="00FE4390">
            <w:pPr>
              <w:jc w:val="center"/>
              <w:rPr>
                <w:rFonts w:cstheme="minorHAnsi"/>
              </w:rPr>
            </w:pPr>
          </w:p>
        </w:tc>
        <w:tc>
          <w:tcPr>
            <w:tcW w:w="1350" w:type="dxa"/>
            <w:vAlign w:val="center"/>
          </w:tcPr>
          <w:p w14:paraId="5A63F1A2" w14:textId="77777777" w:rsidR="00696B34" w:rsidRPr="00A55A51" w:rsidRDefault="00696B34" w:rsidP="00FE4390">
            <w:pPr>
              <w:jc w:val="center"/>
              <w:rPr>
                <w:rFonts w:cstheme="minorHAnsi"/>
              </w:rPr>
            </w:pPr>
          </w:p>
          <w:p w14:paraId="4739BBB4" w14:textId="77777777" w:rsidR="00696B34" w:rsidRPr="00A55A51" w:rsidRDefault="00696B34" w:rsidP="00FE4390">
            <w:pPr>
              <w:jc w:val="center"/>
              <w:rPr>
                <w:rFonts w:cstheme="minorHAnsi"/>
              </w:rPr>
            </w:pPr>
          </w:p>
        </w:tc>
        <w:tc>
          <w:tcPr>
            <w:tcW w:w="1170" w:type="dxa"/>
            <w:vAlign w:val="center"/>
          </w:tcPr>
          <w:p w14:paraId="0CE2B8CB" w14:textId="77777777" w:rsidR="00696B34" w:rsidRPr="00A55A51" w:rsidRDefault="00696B34" w:rsidP="00FE4390">
            <w:pPr>
              <w:jc w:val="center"/>
              <w:rPr>
                <w:rFonts w:cstheme="minorHAnsi"/>
              </w:rPr>
            </w:pPr>
          </w:p>
        </w:tc>
        <w:tc>
          <w:tcPr>
            <w:tcW w:w="2250" w:type="dxa"/>
            <w:vAlign w:val="center"/>
          </w:tcPr>
          <w:p w14:paraId="70D7F366" w14:textId="77777777" w:rsidR="00696B34" w:rsidRPr="00A55A51" w:rsidRDefault="00696B34" w:rsidP="00FE4390">
            <w:pPr>
              <w:jc w:val="center"/>
              <w:rPr>
                <w:rFonts w:cstheme="minorHAnsi"/>
              </w:rPr>
            </w:pPr>
            <w:r w:rsidRPr="00A55A51">
              <w:rPr>
                <w:rFonts w:cstheme="minorHAnsi"/>
              </w:rPr>
              <w:t>Group commodity/sector</w:t>
            </w:r>
          </w:p>
        </w:tc>
        <w:tc>
          <w:tcPr>
            <w:tcW w:w="1350" w:type="dxa"/>
            <w:vMerge/>
            <w:vAlign w:val="center"/>
          </w:tcPr>
          <w:p w14:paraId="27A17DFA" w14:textId="77777777" w:rsidR="00696B34" w:rsidRPr="00A55A51" w:rsidRDefault="00696B34" w:rsidP="00FE4390">
            <w:pPr>
              <w:jc w:val="center"/>
              <w:rPr>
                <w:rFonts w:cstheme="minorHAnsi"/>
              </w:rPr>
            </w:pPr>
          </w:p>
        </w:tc>
      </w:tr>
      <w:tr w:rsidR="00696B34" w:rsidRPr="00A55A51" w14:paraId="2C106CCE" w14:textId="77777777" w:rsidTr="00FE4390">
        <w:tc>
          <w:tcPr>
            <w:tcW w:w="2167" w:type="dxa"/>
            <w:vAlign w:val="center"/>
          </w:tcPr>
          <w:p w14:paraId="0B537D3F" w14:textId="77777777" w:rsidR="00696B34" w:rsidRPr="00A55A51" w:rsidRDefault="00696B34" w:rsidP="00FE4390">
            <w:pPr>
              <w:rPr>
                <w:rFonts w:cstheme="minorHAnsi"/>
              </w:rPr>
            </w:pPr>
            <w:r w:rsidRPr="00A55A51">
              <w:rPr>
                <w:rFonts w:cstheme="minorHAnsi"/>
                <w:i/>
                <w:iCs/>
                <w:kern w:val="24"/>
              </w:rPr>
              <w:t>E. Payments based on non-current A/An/R/I, production not required</w:t>
            </w:r>
          </w:p>
        </w:tc>
        <w:tc>
          <w:tcPr>
            <w:tcW w:w="978" w:type="dxa"/>
            <w:vAlign w:val="center"/>
          </w:tcPr>
          <w:p w14:paraId="1CF89575" w14:textId="77777777" w:rsidR="00696B34" w:rsidRPr="00A55A51" w:rsidRDefault="00696B34" w:rsidP="00FE4390">
            <w:pPr>
              <w:jc w:val="center"/>
              <w:rPr>
                <w:rFonts w:cstheme="minorHAnsi"/>
              </w:rPr>
            </w:pPr>
          </w:p>
        </w:tc>
        <w:tc>
          <w:tcPr>
            <w:tcW w:w="900" w:type="dxa"/>
            <w:vAlign w:val="center"/>
          </w:tcPr>
          <w:p w14:paraId="078A6C7E" w14:textId="77777777" w:rsidR="00696B34" w:rsidRPr="00A55A51" w:rsidRDefault="00696B34" w:rsidP="00FE4390">
            <w:pPr>
              <w:jc w:val="center"/>
              <w:rPr>
                <w:rFonts w:cstheme="minorHAnsi"/>
              </w:rPr>
            </w:pPr>
          </w:p>
        </w:tc>
        <w:tc>
          <w:tcPr>
            <w:tcW w:w="1350" w:type="dxa"/>
            <w:vAlign w:val="center"/>
          </w:tcPr>
          <w:p w14:paraId="6470E015" w14:textId="77777777" w:rsidR="00696B34" w:rsidRPr="00A55A51" w:rsidRDefault="00696B34" w:rsidP="00FE4390">
            <w:pPr>
              <w:jc w:val="center"/>
              <w:rPr>
                <w:rFonts w:cstheme="minorHAnsi"/>
              </w:rPr>
            </w:pPr>
          </w:p>
          <w:p w14:paraId="59517C50" w14:textId="77777777" w:rsidR="00696B34" w:rsidRPr="00A55A51" w:rsidRDefault="00696B34" w:rsidP="00FE4390">
            <w:pPr>
              <w:jc w:val="center"/>
              <w:rPr>
                <w:rFonts w:cstheme="minorHAnsi"/>
              </w:rPr>
            </w:pPr>
          </w:p>
        </w:tc>
        <w:tc>
          <w:tcPr>
            <w:tcW w:w="1170" w:type="dxa"/>
            <w:vAlign w:val="center"/>
          </w:tcPr>
          <w:p w14:paraId="261AFE7A" w14:textId="77777777" w:rsidR="00696B34" w:rsidRPr="00A55A51" w:rsidRDefault="00696B34" w:rsidP="00FE4390">
            <w:pPr>
              <w:jc w:val="center"/>
              <w:rPr>
                <w:rFonts w:cstheme="minorHAnsi"/>
              </w:rPr>
            </w:pPr>
          </w:p>
        </w:tc>
        <w:tc>
          <w:tcPr>
            <w:tcW w:w="2250" w:type="dxa"/>
            <w:vAlign w:val="center"/>
          </w:tcPr>
          <w:p w14:paraId="74A159FF" w14:textId="77777777" w:rsidR="00696B34" w:rsidRPr="00A55A51" w:rsidRDefault="00696B34" w:rsidP="00FE4390">
            <w:pPr>
              <w:jc w:val="center"/>
              <w:rPr>
                <w:rFonts w:cstheme="minorHAnsi"/>
              </w:rPr>
            </w:pPr>
            <w:r w:rsidRPr="00A55A51">
              <w:rPr>
                <w:rFonts w:cstheme="minorHAnsi"/>
              </w:rPr>
              <w:t>Group commodity/sector</w:t>
            </w:r>
          </w:p>
        </w:tc>
        <w:tc>
          <w:tcPr>
            <w:tcW w:w="1350" w:type="dxa"/>
            <w:vMerge/>
            <w:vAlign w:val="center"/>
          </w:tcPr>
          <w:p w14:paraId="6D067702" w14:textId="77777777" w:rsidR="00696B34" w:rsidRPr="00A55A51" w:rsidRDefault="00696B34" w:rsidP="00FE4390">
            <w:pPr>
              <w:jc w:val="center"/>
              <w:rPr>
                <w:rFonts w:cstheme="minorHAnsi"/>
              </w:rPr>
            </w:pPr>
          </w:p>
        </w:tc>
      </w:tr>
      <w:tr w:rsidR="00696B34" w:rsidRPr="00A55A51" w14:paraId="2E30A588" w14:textId="77777777" w:rsidTr="00FE4390">
        <w:tc>
          <w:tcPr>
            <w:tcW w:w="2167" w:type="dxa"/>
            <w:vAlign w:val="center"/>
          </w:tcPr>
          <w:p w14:paraId="0D2AF607" w14:textId="77777777" w:rsidR="00696B34" w:rsidRPr="00A55A51" w:rsidRDefault="00696B34" w:rsidP="00FE4390">
            <w:pPr>
              <w:rPr>
                <w:rFonts w:cstheme="minorHAnsi"/>
              </w:rPr>
            </w:pPr>
            <w:r w:rsidRPr="00A55A51">
              <w:rPr>
                <w:rFonts w:cstheme="minorHAnsi"/>
                <w:i/>
                <w:iCs/>
                <w:kern w:val="24"/>
              </w:rPr>
              <w:t>F. Payments based on non-commodity criteria</w:t>
            </w:r>
          </w:p>
        </w:tc>
        <w:tc>
          <w:tcPr>
            <w:tcW w:w="978" w:type="dxa"/>
            <w:vAlign w:val="center"/>
          </w:tcPr>
          <w:p w14:paraId="442D2031" w14:textId="77777777" w:rsidR="00696B34" w:rsidRPr="00A55A51" w:rsidRDefault="00696B34" w:rsidP="00FE4390">
            <w:pPr>
              <w:jc w:val="center"/>
              <w:rPr>
                <w:rFonts w:cstheme="minorHAnsi"/>
              </w:rPr>
            </w:pPr>
          </w:p>
        </w:tc>
        <w:tc>
          <w:tcPr>
            <w:tcW w:w="900" w:type="dxa"/>
            <w:vAlign w:val="center"/>
          </w:tcPr>
          <w:p w14:paraId="1238D3BE" w14:textId="77777777" w:rsidR="00696B34" w:rsidRPr="00A55A51" w:rsidRDefault="00696B34" w:rsidP="00FE4390">
            <w:pPr>
              <w:jc w:val="center"/>
              <w:rPr>
                <w:rFonts w:cstheme="minorHAnsi"/>
              </w:rPr>
            </w:pPr>
          </w:p>
        </w:tc>
        <w:tc>
          <w:tcPr>
            <w:tcW w:w="1350" w:type="dxa"/>
            <w:vAlign w:val="center"/>
          </w:tcPr>
          <w:p w14:paraId="291FCEA1" w14:textId="77777777" w:rsidR="00696B34" w:rsidRPr="00A55A51" w:rsidRDefault="00696B34" w:rsidP="00FE4390">
            <w:pPr>
              <w:jc w:val="center"/>
              <w:rPr>
                <w:rFonts w:cstheme="minorHAnsi"/>
              </w:rPr>
            </w:pPr>
          </w:p>
          <w:p w14:paraId="4446CF94" w14:textId="77777777" w:rsidR="00696B34" w:rsidRPr="00A55A51" w:rsidRDefault="00696B34" w:rsidP="00FE4390">
            <w:pPr>
              <w:jc w:val="center"/>
              <w:rPr>
                <w:rFonts w:cstheme="minorHAnsi"/>
              </w:rPr>
            </w:pPr>
          </w:p>
        </w:tc>
        <w:tc>
          <w:tcPr>
            <w:tcW w:w="1170" w:type="dxa"/>
            <w:vAlign w:val="center"/>
          </w:tcPr>
          <w:p w14:paraId="6B96397A" w14:textId="77777777" w:rsidR="00696B34" w:rsidRPr="00A55A51" w:rsidRDefault="00696B34" w:rsidP="00FE4390">
            <w:pPr>
              <w:jc w:val="center"/>
              <w:rPr>
                <w:rFonts w:cstheme="minorHAnsi"/>
              </w:rPr>
            </w:pPr>
          </w:p>
        </w:tc>
        <w:tc>
          <w:tcPr>
            <w:tcW w:w="2250" w:type="dxa"/>
            <w:vAlign w:val="center"/>
          </w:tcPr>
          <w:p w14:paraId="7D27FFEB" w14:textId="77777777" w:rsidR="00696B34" w:rsidRPr="00A55A51" w:rsidRDefault="00696B34" w:rsidP="00FE4390">
            <w:pPr>
              <w:jc w:val="center"/>
              <w:rPr>
                <w:rFonts w:cstheme="minorHAnsi"/>
              </w:rPr>
            </w:pPr>
            <w:r w:rsidRPr="00A55A51">
              <w:rPr>
                <w:rFonts w:cstheme="minorHAnsi"/>
              </w:rPr>
              <w:t>Group commodity/sector</w:t>
            </w:r>
          </w:p>
        </w:tc>
        <w:tc>
          <w:tcPr>
            <w:tcW w:w="1350" w:type="dxa"/>
            <w:vMerge/>
            <w:vAlign w:val="center"/>
          </w:tcPr>
          <w:p w14:paraId="0291CB4B" w14:textId="77777777" w:rsidR="00696B34" w:rsidRPr="00A55A51" w:rsidRDefault="00696B34" w:rsidP="00FE4390">
            <w:pPr>
              <w:jc w:val="center"/>
              <w:rPr>
                <w:rFonts w:cstheme="minorHAnsi"/>
              </w:rPr>
            </w:pPr>
          </w:p>
        </w:tc>
      </w:tr>
      <w:tr w:rsidR="00696B34" w:rsidRPr="00A55A51" w14:paraId="23F4B8BF" w14:textId="77777777" w:rsidTr="00FE4390">
        <w:tc>
          <w:tcPr>
            <w:tcW w:w="2167" w:type="dxa"/>
            <w:vAlign w:val="center"/>
          </w:tcPr>
          <w:p w14:paraId="1B4B2F79" w14:textId="77777777" w:rsidR="00696B34" w:rsidRPr="00A55A51" w:rsidRDefault="00696B34" w:rsidP="00FE4390">
            <w:pPr>
              <w:rPr>
                <w:rFonts w:cstheme="minorHAnsi"/>
              </w:rPr>
            </w:pPr>
            <w:r w:rsidRPr="00A55A51">
              <w:rPr>
                <w:rFonts w:cstheme="minorHAnsi"/>
                <w:i/>
                <w:iCs/>
                <w:kern w:val="24"/>
              </w:rPr>
              <w:t>G. Miscellaneous payments</w:t>
            </w:r>
          </w:p>
        </w:tc>
        <w:tc>
          <w:tcPr>
            <w:tcW w:w="978" w:type="dxa"/>
            <w:vAlign w:val="center"/>
          </w:tcPr>
          <w:p w14:paraId="2E68F000" w14:textId="77777777" w:rsidR="00696B34" w:rsidRPr="00A55A51" w:rsidRDefault="00696B34" w:rsidP="00FE4390">
            <w:pPr>
              <w:jc w:val="center"/>
              <w:rPr>
                <w:rFonts w:cstheme="minorHAnsi"/>
              </w:rPr>
            </w:pPr>
          </w:p>
        </w:tc>
        <w:tc>
          <w:tcPr>
            <w:tcW w:w="900" w:type="dxa"/>
            <w:vAlign w:val="center"/>
          </w:tcPr>
          <w:p w14:paraId="0ACC0EF0" w14:textId="77777777" w:rsidR="00696B34" w:rsidRPr="00A55A51" w:rsidRDefault="00696B34" w:rsidP="00FE4390">
            <w:pPr>
              <w:jc w:val="center"/>
              <w:rPr>
                <w:rFonts w:cstheme="minorHAnsi"/>
              </w:rPr>
            </w:pPr>
          </w:p>
        </w:tc>
        <w:tc>
          <w:tcPr>
            <w:tcW w:w="1350" w:type="dxa"/>
            <w:vAlign w:val="center"/>
          </w:tcPr>
          <w:p w14:paraId="5165C5FB" w14:textId="77777777" w:rsidR="00696B34" w:rsidRPr="00A55A51" w:rsidRDefault="00696B34" w:rsidP="00FE4390">
            <w:pPr>
              <w:jc w:val="center"/>
              <w:rPr>
                <w:rFonts w:cstheme="minorHAnsi"/>
              </w:rPr>
            </w:pPr>
          </w:p>
          <w:p w14:paraId="4869223F" w14:textId="77777777" w:rsidR="00696B34" w:rsidRPr="00A55A51" w:rsidRDefault="00696B34" w:rsidP="00FE4390">
            <w:pPr>
              <w:jc w:val="center"/>
              <w:rPr>
                <w:rFonts w:cstheme="minorHAnsi"/>
              </w:rPr>
            </w:pPr>
          </w:p>
        </w:tc>
        <w:tc>
          <w:tcPr>
            <w:tcW w:w="1170" w:type="dxa"/>
            <w:vAlign w:val="center"/>
          </w:tcPr>
          <w:p w14:paraId="0453B297" w14:textId="77777777" w:rsidR="00696B34" w:rsidRPr="00A55A51" w:rsidRDefault="00696B34" w:rsidP="00FE4390">
            <w:pPr>
              <w:jc w:val="center"/>
              <w:rPr>
                <w:rFonts w:cstheme="minorHAnsi"/>
              </w:rPr>
            </w:pPr>
          </w:p>
        </w:tc>
        <w:tc>
          <w:tcPr>
            <w:tcW w:w="2250" w:type="dxa"/>
            <w:vAlign w:val="center"/>
          </w:tcPr>
          <w:p w14:paraId="19F70D52" w14:textId="77777777" w:rsidR="00696B34" w:rsidRPr="00A55A51" w:rsidRDefault="00696B34" w:rsidP="00FE4390">
            <w:pPr>
              <w:jc w:val="center"/>
              <w:rPr>
                <w:rFonts w:cstheme="minorHAnsi"/>
              </w:rPr>
            </w:pPr>
            <w:r w:rsidRPr="00A55A51">
              <w:rPr>
                <w:rFonts w:cstheme="minorHAnsi"/>
              </w:rPr>
              <w:t>Sector (crop/livestock/Agriculture)</w:t>
            </w:r>
          </w:p>
        </w:tc>
        <w:tc>
          <w:tcPr>
            <w:tcW w:w="1350" w:type="dxa"/>
            <w:vMerge/>
            <w:vAlign w:val="center"/>
          </w:tcPr>
          <w:p w14:paraId="35C6BAB0" w14:textId="77777777" w:rsidR="00696B34" w:rsidRPr="00A55A51" w:rsidRDefault="00696B34" w:rsidP="00FE4390">
            <w:pPr>
              <w:jc w:val="center"/>
              <w:rPr>
                <w:rFonts w:cstheme="minorHAnsi"/>
              </w:rPr>
            </w:pPr>
          </w:p>
        </w:tc>
      </w:tr>
      <w:tr w:rsidR="00696B34" w:rsidRPr="00A55A51" w14:paraId="245816E9" w14:textId="77777777" w:rsidTr="00FE4390">
        <w:tc>
          <w:tcPr>
            <w:tcW w:w="2167" w:type="dxa"/>
            <w:vAlign w:val="center"/>
          </w:tcPr>
          <w:p w14:paraId="7E6043CF" w14:textId="77777777" w:rsidR="00696B34" w:rsidRPr="00A55A51" w:rsidRDefault="00696B34" w:rsidP="00FE4390">
            <w:pPr>
              <w:rPr>
                <w:rFonts w:cstheme="minorHAnsi"/>
              </w:rPr>
            </w:pPr>
            <w:r w:rsidRPr="00A55A51">
              <w:rPr>
                <w:rFonts w:cstheme="minorHAnsi"/>
                <w:kern w:val="24"/>
              </w:rPr>
              <w:t>TOTAL by commodity</w:t>
            </w:r>
          </w:p>
        </w:tc>
        <w:tc>
          <w:tcPr>
            <w:tcW w:w="978" w:type="dxa"/>
            <w:vAlign w:val="center"/>
          </w:tcPr>
          <w:p w14:paraId="4E1666E4" w14:textId="77777777" w:rsidR="00696B34" w:rsidRPr="00A55A51" w:rsidRDefault="00696B34" w:rsidP="00FE4390">
            <w:pPr>
              <w:jc w:val="center"/>
              <w:rPr>
                <w:rFonts w:cstheme="minorHAnsi"/>
              </w:rPr>
            </w:pPr>
            <w:r w:rsidRPr="00A55A51">
              <w:rPr>
                <w:rFonts w:cstheme="minorHAnsi"/>
                <w:kern w:val="24"/>
              </w:rPr>
              <w:t>NRA</w:t>
            </w:r>
            <w:r w:rsidRPr="00A55A51">
              <w:rPr>
                <w:rFonts w:cstheme="minorHAnsi"/>
                <w:kern w:val="24"/>
                <w:position w:val="-6"/>
                <w:vertAlign w:val="subscript"/>
              </w:rPr>
              <w:t>1</w:t>
            </w:r>
          </w:p>
        </w:tc>
        <w:tc>
          <w:tcPr>
            <w:tcW w:w="900" w:type="dxa"/>
            <w:vAlign w:val="center"/>
          </w:tcPr>
          <w:p w14:paraId="4C761B0F" w14:textId="77777777" w:rsidR="00696B34" w:rsidRPr="00A55A51" w:rsidRDefault="00696B34" w:rsidP="00FE4390">
            <w:pPr>
              <w:jc w:val="center"/>
              <w:rPr>
                <w:rFonts w:cstheme="minorHAnsi"/>
              </w:rPr>
            </w:pPr>
            <w:r w:rsidRPr="00A55A51">
              <w:rPr>
                <w:rFonts w:cstheme="minorHAnsi"/>
                <w:kern w:val="24"/>
              </w:rPr>
              <w:t>NRA</w:t>
            </w:r>
            <w:r w:rsidRPr="00A55A51">
              <w:rPr>
                <w:rFonts w:cstheme="minorHAnsi"/>
                <w:kern w:val="24"/>
                <w:position w:val="-6"/>
                <w:vertAlign w:val="subscript"/>
              </w:rPr>
              <w:t>2</w:t>
            </w:r>
          </w:p>
        </w:tc>
        <w:tc>
          <w:tcPr>
            <w:tcW w:w="1350" w:type="dxa"/>
            <w:vAlign w:val="center"/>
          </w:tcPr>
          <w:p w14:paraId="69F8ED4E" w14:textId="77777777" w:rsidR="00696B34" w:rsidRPr="00A55A51" w:rsidRDefault="00696B34" w:rsidP="00FE4390">
            <w:pPr>
              <w:jc w:val="center"/>
              <w:rPr>
                <w:rFonts w:cstheme="minorHAnsi"/>
                <w:vertAlign w:val="subscript"/>
              </w:rPr>
            </w:pPr>
            <w:proofErr w:type="spellStart"/>
            <w:r w:rsidRPr="00A55A51">
              <w:rPr>
                <w:rFonts w:cstheme="minorHAnsi"/>
              </w:rPr>
              <w:t>NRA</w:t>
            </w:r>
            <w:r w:rsidRPr="00A55A51">
              <w:rPr>
                <w:rFonts w:cstheme="minorHAnsi"/>
                <w:vertAlign w:val="subscript"/>
              </w:rPr>
              <w:t>x</w:t>
            </w:r>
            <w:proofErr w:type="spellEnd"/>
          </w:p>
        </w:tc>
        <w:tc>
          <w:tcPr>
            <w:tcW w:w="1170" w:type="dxa"/>
            <w:vAlign w:val="center"/>
          </w:tcPr>
          <w:p w14:paraId="0DB4C7E5" w14:textId="77777777" w:rsidR="00696B34" w:rsidRPr="00A55A51" w:rsidRDefault="00696B34" w:rsidP="00FE4390">
            <w:pPr>
              <w:jc w:val="center"/>
              <w:rPr>
                <w:rFonts w:cstheme="minorHAnsi"/>
              </w:rPr>
            </w:pPr>
            <w:r w:rsidRPr="00A55A51">
              <w:rPr>
                <w:rFonts w:cstheme="minorHAnsi"/>
                <w:kern w:val="24"/>
              </w:rPr>
              <w:t>NRA</w:t>
            </w:r>
            <w:r w:rsidRPr="00A55A51">
              <w:rPr>
                <w:rFonts w:cstheme="minorHAnsi"/>
                <w:kern w:val="24"/>
                <w:position w:val="-6"/>
                <w:vertAlign w:val="subscript"/>
              </w:rPr>
              <w:t xml:space="preserve"> XE</w:t>
            </w:r>
          </w:p>
        </w:tc>
        <w:tc>
          <w:tcPr>
            <w:tcW w:w="2250" w:type="dxa"/>
            <w:vAlign w:val="center"/>
          </w:tcPr>
          <w:p w14:paraId="6B6547A6" w14:textId="77777777" w:rsidR="00696B34" w:rsidRPr="00A55A51" w:rsidRDefault="00696B34" w:rsidP="00FE4390">
            <w:pPr>
              <w:jc w:val="center"/>
              <w:rPr>
                <w:rFonts w:cstheme="minorHAnsi"/>
              </w:rPr>
            </w:pPr>
          </w:p>
        </w:tc>
        <w:tc>
          <w:tcPr>
            <w:tcW w:w="1350" w:type="dxa"/>
            <w:vAlign w:val="center"/>
          </w:tcPr>
          <w:p w14:paraId="277A92A2" w14:textId="77777777" w:rsidR="00696B34" w:rsidRPr="00A55A51" w:rsidRDefault="00696B34" w:rsidP="00FE4390">
            <w:pPr>
              <w:jc w:val="center"/>
              <w:rPr>
                <w:rFonts w:cstheme="minorHAnsi"/>
              </w:rPr>
            </w:pPr>
            <w:r w:rsidRPr="00A55A51">
              <w:rPr>
                <w:rFonts w:cstheme="minorHAnsi"/>
                <w:kern w:val="24"/>
              </w:rPr>
              <w:t>NRA</w:t>
            </w:r>
          </w:p>
        </w:tc>
      </w:tr>
    </w:tbl>
    <w:p w14:paraId="6273BC1D" w14:textId="77777777" w:rsidR="00696B34" w:rsidRPr="00A55A51" w:rsidRDefault="00696B34" w:rsidP="00696B34">
      <w:pPr>
        <w:jc w:val="both"/>
        <w:rPr>
          <w:rFonts w:cstheme="minorHAnsi"/>
        </w:rPr>
      </w:pPr>
      <w:r w:rsidRPr="00A55A51">
        <w:rPr>
          <w:rFonts w:cstheme="minorHAnsi"/>
        </w:rPr>
        <w:t xml:space="preserve">Source: Authors’ classification based on OECD methodology </w:t>
      </w:r>
    </w:p>
    <w:p w14:paraId="0D048BB7" w14:textId="77777777" w:rsidR="00696B34" w:rsidRPr="00A55A51" w:rsidRDefault="00696B34" w:rsidP="00696B34">
      <w:pPr>
        <w:tabs>
          <w:tab w:val="left" w:pos="540"/>
        </w:tabs>
        <w:spacing w:after="120"/>
        <w:rPr>
          <w:rFonts w:cstheme="minorHAnsi"/>
        </w:rPr>
      </w:pPr>
    </w:p>
    <w:p w14:paraId="0270A388" w14:textId="77777777" w:rsidR="00696B34" w:rsidRPr="00A55A51" w:rsidRDefault="00696B34" w:rsidP="00696B34">
      <w:pPr>
        <w:tabs>
          <w:tab w:val="left" w:pos="1080"/>
        </w:tabs>
        <w:spacing w:after="120"/>
        <w:rPr>
          <w:rFonts w:cstheme="minorHAnsi"/>
          <w:i/>
        </w:rPr>
      </w:pPr>
      <w:r w:rsidRPr="00A55A51">
        <w:rPr>
          <w:rFonts w:cstheme="minorHAnsi"/>
          <w:b/>
          <w:sz w:val="28"/>
          <w:szCs w:val="28"/>
        </w:rPr>
        <w:t xml:space="preserve">4. What do we learn from the Measures? </w:t>
      </w:r>
      <w:r w:rsidRPr="00A55A51">
        <w:rPr>
          <w:rFonts w:cstheme="minorHAnsi"/>
        </w:rPr>
        <w:t xml:space="preserve"> </w:t>
      </w:r>
    </w:p>
    <w:p w14:paraId="0E2E7793" w14:textId="6F540D91" w:rsidR="00696B34" w:rsidRPr="00A55A51" w:rsidRDefault="00696B34" w:rsidP="00696B34">
      <w:pPr>
        <w:tabs>
          <w:tab w:val="left" w:pos="540"/>
        </w:tabs>
        <w:spacing w:after="120" w:line="360" w:lineRule="auto"/>
        <w:ind w:firstLine="562"/>
        <w:rPr>
          <w:rFonts w:cstheme="minorHAnsi"/>
        </w:rPr>
      </w:pPr>
      <w:r w:rsidRPr="00A55A51">
        <w:rPr>
          <w:rFonts w:cstheme="minorHAnsi"/>
        </w:rPr>
        <w:t xml:space="preserve">Figure 3 below presents average global NRPs weighted by production quantity as seen in the above equations. Figure 3 also includes the FAO Food Price Index based on international prices weighted with average export shares for 2002-2004. As seen below, there appears to be a tendency for the global NRP for the agricultural sector to rise over time until 2015, although values are positive (except for 2008), showing that overall agricultural policies have protected farmers in the countries providing protection, as long as the depressing impact of protection on world prices is not taken into account. Since 2015, protection declines slightly afterward (from 8 % in 2015 to 6% in 2020), with </w:t>
      </w:r>
      <w:r w:rsidR="00993F03" w:rsidRPr="00A55A51">
        <w:rPr>
          <w:rFonts w:cstheme="minorHAnsi"/>
        </w:rPr>
        <w:t>the latest</w:t>
      </w:r>
      <w:r w:rsidRPr="00A55A51">
        <w:rPr>
          <w:rFonts w:cstheme="minorHAnsi"/>
        </w:rPr>
        <w:t xml:space="preserve"> indicates an average protection of only 3.7% in 2023. As expected, we see that the average NRP and the average Food Price Index move in opposite directions. When global food prices are rising, governments are insulating consumers, by reducing or eliminating import duties or adding export taxes that in turn reduce protection afforded to producers. The clearest example is in the 2008 and 2011 food price crises, with the drop in global average NRP and the jump in the global Food Price Index. This effect re</w:t>
      </w:r>
      <w:r w:rsidRPr="00A55A51">
        <w:rPr>
          <w:rFonts w:cstheme="minorHAnsi"/>
        </w:rPr>
        <w:lastRenderedPageBreak/>
        <w:t>flects two factors—a tendency for policy makers to resist increases in world prices by lowering protection, and the tendency for such declines in protection to raise world prices by increasing demand for food and, in the case of export restrictions, by reducing the supply of food onto world markets (Martin, Mamun and Minot 2024).</w:t>
      </w:r>
    </w:p>
    <w:p w14:paraId="460A255F" w14:textId="77777777" w:rsidR="003E49AC" w:rsidRPr="00A55A51" w:rsidRDefault="003E49AC" w:rsidP="00696B34">
      <w:pPr>
        <w:tabs>
          <w:tab w:val="left" w:pos="540"/>
        </w:tabs>
        <w:spacing w:after="120" w:line="360" w:lineRule="auto"/>
        <w:ind w:firstLine="562"/>
        <w:rPr>
          <w:rFonts w:cstheme="minorHAnsi"/>
        </w:rPr>
      </w:pPr>
    </w:p>
    <w:p w14:paraId="27ADF1C2" w14:textId="77777777" w:rsidR="00696B34" w:rsidRPr="00A55A51" w:rsidRDefault="00696B34" w:rsidP="00696B34">
      <w:pPr>
        <w:spacing w:after="120"/>
        <w:rPr>
          <w:rFonts w:cstheme="minorHAnsi"/>
        </w:rPr>
      </w:pPr>
      <w:r w:rsidRPr="00A55A51">
        <w:rPr>
          <w:rFonts w:cstheme="minorHAnsi"/>
          <w:noProof/>
        </w:rPr>
        <w:t xml:space="preserve">  </w:t>
      </w:r>
      <w:r w:rsidRPr="00A55A51">
        <w:rPr>
          <w:rFonts w:cstheme="minorHAnsi"/>
          <w:noProof/>
        </w:rPr>
        <w:drawing>
          <wp:inline distT="0" distB="0" distL="0" distR="0" wp14:anchorId="75B1DDDB" wp14:editId="439923C1">
            <wp:extent cx="6289481" cy="3781425"/>
            <wp:effectExtent l="0" t="0" r="16510" b="9525"/>
            <wp:docPr id="1793316129" name="Chart 1">
              <a:extLst xmlns:a="http://schemas.openxmlformats.org/drawingml/2006/main">
                <a:ext uri="{FF2B5EF4-FFF2-40B4-BE49-F238E27FC236}">
                  <a16:creationId xmlns:a16="http://schemas.microsoft.com/office/drawing/2014/main" id="{FCBA5DC5-A8FB-34FA-1CAD-DE64A4D2F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7207186" w14:textId="66EB9E3A" w:rsidR="00696B34" w:rsidRPr="00A55A51" w:rsidRDefault="00F23FF1" w:rsidP="00F23FF1">
      <w:pPr>
        <w:pStyle w:val="Caption"/>
        <w:rPr>
          <w:rFonts w:asciiTheme="minorHAnsi" w:hAnsiTheme="minorHAnsi" w:cstheme="minorHAnsi"/>
          <w:b w:val="0"/>
        </w:rPr>
      </w:pPr>
      <w:bookmarkStart w:id="16" w:name="_Toc195126827"/>
      <w:r>
        <w:t xml:space="preserve">Figure </w:t>
      </w:r>
      <w:fldSimple w:instr=" SEQ Figure \* ARABIC ">
        <w:r>
          <w:rPr>
            <w:noProof/>
          </w:rPr>
          <w:t>3</w:t>
        </w:r>
      </w:fldSimple>
      <w:r w:rsidR="00696B34" w:rsidRPr="00A55A51">
        <w:rPr>
          <w:rFonts w:asciiTheme="minorHAnsi" w:hAnsiTheme="minorHAnsi" w:cstheme="minorHAnsi"/>
        </w:rPr>
        <w:t xml:space="preserve">: </w:t>
      </w:r>
      <w:r w:rsidR="00696B34" w:rsidRPr="00F23FF1">
        <w:rPr>
          <w:rFonts w:asciiTheme="minorHAnsi" w:hAnsiTheme="minorHAnsi" w:cstheme="minorHAnsi"/>
          <w:b w:val="0"/>
          <w:bCs/>
          <w:iCs w:val="0"/>
        </w:rPr>
        <w:t>Average NRPs for agriculture and the FAO Food Price Index</w:t>
      </w:r>
      <w:bookmarkEnd w:id="16"/>
    </w:p>
    <w:p w14:paraId="12AFF78D" w14:textId="77777777" w:rsidR="00696B34" w:rsidRPr="00A55A51" w:rsidRDefault="00696B34" w:rsidP="00696B34">
      <w:pPr>
        <w:spacing w:after="120"/>
        <w:rPr>
          <w:rFonts w:cstheme="minorHAnsi"/>
          <w:bCs/>
        </w:rPr>
      </w:pPr>
      <w:r w:rsidRPr="00A55A51">
        <w:rPr>
          <w:rFonts w:cstheme="minorHAnsi"/>
          <w:bCs/>
        </w:rPr>
        <w:t>Source: AgIncentives database and FAO (2025)</w:t>
      </w:r>
    </w:p>
    <w:p w14:paraId="03B895D9" w14:textId="77777777" w:rsidR="00696B34" w:rsidRPr="00A55A51" w:rsidRDefault="00696B34" w:rsidP="00696B34">
      <w:pPr>
        <w:spacing w:after="120"/>
        <w:rPr>
          <w:rFonts w:cstheme="minorHAnsi"/>
          <w:bCs/>
        </w:rPr>
      </w:pPr>
    </w:p>
    <w:p w14:paraId="5B594D18" w14:textId="0059F342" w:rsidR="00696B34" w:rsidRPr="00A55A51" w:rsidRDefault="00696B34" w:rsidP="00696B34">
      <w:pPr>
        <w:tabs>
          <w:tab w:val="left" w:pos="540"/>
        </w:tabs>
        <w:spacing w:after="120" w:line="360" w:lineRule="auto"/>
        <w:ind w:firstLine="562"/>
        <w:rPr>
          <w:rFonts w:cstheme="minorHAnsi"/>
        </w:rPr>
      </w:pPr>
      <w:r w:rsidRPr="00A55A51">
        <w:rPr>
          <w:rFonts w:cstheme="minorHAnsi"/>
        </w:rPr>
        <w:t xml:space="preserve">In Figure 4, we present the average NRPs for the agricultural sector categorized by income levels of countries. For the period shown, high income countries have generally provided higher protection for their farmers, although the average protection rate has declined in the last decade. Middle income countries had lower NRPs on average than high income countries, but this has increased over time and converged to the lower rates of high-income countries, such that the two average NRPS have been almost identical for the last decade. Low-income countries had negative NRPs in the period shown in Figure 3, partly because this was a period of relatively high prices and partly because the agricultural sector is seen as a source of government revenue (mostly in Africa) and export commodities are frequently taxed (Anderson 1995). In the recent years (2020 to 2023), NRPs in low income countries tend to be rising in absolute terms, meaning less taxation than those observed during 2005 to 2019. One thing to </w:t>
      </w:r>
      <w:r w:rsidRPr="00A55A51">
        <w:rPr>
          <w:rFonts w:cstheme="minorHAnsi"/>
        </w:rPr>
        <w:lastRenderedPageBreak/>
        <w:t xml:space="preserve">note is the difference in NRPs for countries during the 2008 food price crisis. </w:t>
      </w:r>
      <w:r w:rsidR="00993F03" w:rsidRPr="00A55A51">
        <w:rPr>
          <w:rFonts w:cstheme="minorHAnsi"/>
        </w:rPr>
        <w:t>High- and middle-income</w:t>
      </w:r>
      <w:r w:rsidRPr="00A55A51">
        <w:rPr>
          <w:rFonts w:cstheme="minorHAnsi"/>
        </w:rPr>
        <w:t xml:space="preserve"> countries had slightly lower NRPs in 2008 and 2011 food price crises, whereas low-income countries had higher NRPs during these price crises—a response that would have exacerbated the impacts of world price rises on domestic prices. </w:t>
      </w:r>
    </w:p>
    <w:p w14:paraId="0BEF7274" w14:textId="77777777" w:rsidR="00696B34" w:rsidRPr="00A55A51" w:rsidRDefault="00696B34" w:rsidP="00696B34">
      <w:pPr>
        <w:spacing w:after="120"/>
        <w:rPr>
          <w:rFonts w:cstheme="minorHAnsi"/>
          <w:b/>
        </w:rPr>
      </w:pPr>
      <w:r w:rsidRPr="00A55A51">
        <w:rPr>
          <w:rFonts w:cstheme="minorHAnsi"/>
          <w:noProof/>
        </w:rPr>
        <w:t xml:space="preserve"> </w:t>
      </w:r>
      <w:r w:rsidRPr="00A55A51">
        <w:rPr>
          <w:rFonts w:cstheme="minorHAnsi"/>
          <w:noProof/>
        </w:rPr>
        <w:drawing>
          <wp:inline distT="0" distB="0" distL="0" distR="0" wp14:anchorId="64FD6D11" wp14:editId="694E09BA">
            <wp:extent cx="5970905" cy="3705307"/>
            <wp:effectExtent l="0" t="0" r="10795" b="9525"/>
            <wp:docPr id="595105448" name="Chart 1">
              <a:extLst xmlns:a="http://schemas.openxmlformats.org/drawingml/2006/main">
                <a:ext uri="{FF2B5EF4-FFF2-40B4-BE49-F238E27FC236}">
                  <a16:creationId xmlns:a16="http://schemas.microsoft.com/office/drawing/2014/main" id="{D7E599DE-BA04-F33A-3503-A1B884D61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0692B8" w14:textId="2BA34F28" w:rsidR="00696B34" w:rsidRPr="00A55A51" w:rsidRDefault="00F23FF1" w:rsidP="00F23FF1">
      <w:pPr>
        <w:pStyle w:val="Caption"/>
        <w:rPr>
          <w:rFonts w:asciiTheme="minorHAnsi" w:hAnsiTheme="minorHAnsi" w:cstheme="minorHAnsi"/>
        </w:rPr>
      </w:pPr>
      <w:bookmarkStart w:id="17" w:name="_Toc195126828"/>
      <w:r>
        <w:t xml:space="preserve">Figure </w:t>
      </w:r>
      <w:fldSimple w:instr=" SEQ Figure \* ARABIC ">
        <w:r>
          <w:rPr>
            <w:noProof/>
          </w:rPr>
          <w:t>4</w:t>
        </w:r>
      </w:fldSimple>
      <w:r w:rsidR="00696B34" w:rsidRPr="00A55A51">
        <w:rPr>
          <w:rFonts w:asciiTheme="minorHAnsi" w:hAnsiTheme="minorHAnsi" w:cstheme="minorHAnsi"/>
        </w:rPr>
        <w:t xml:space="preserve">: </w:t>
      </w:r>
      <w:r w:rsidR="00696B34" w:rsidRPr="00F23FF1">
        <w:rPr>
          <w:rFonts w:asciiTheme="minorHAnsi" w:hAnsiTheme="minorHAnsi" w:cstheme="minorHAnsi"/>
          <w:b w:val="0"/>
          <w:bCs/>
          <w:iCs w:val="0"/>
        </w:rPr>
        <w:t>Average NRPs for agricultural sector by income category</w:t>
      </w:r>
      <w:bookmarkEnd w:id="17"/>
      <w:r w:rsidR="00696B34" w:rsidRPr="00A55A51">
        <w:rPr>
          <w:rFonts w:asciiTheme="minorHAnsi" w:hAnsiTheme="minorHAnsi" w:cstheme="minorHAnsi"/>
          <w:i/>
        </w:rPr>
        <w:t xml:space="preserve"> </w:t>
      </w:r>
    </w:p>
    <w:p w14:paraId="2337A118" w14:textId="77777777" w:rsidR="00696B34" w:rsidRPr="00A55A51" w:rsidRDefault="00696B34" w:rsidP="00696B34">
      <w:pPr>
        <w:tabs>
          <w:tab w:val="left" w:pos="540"/>
        </w:tabs>
        <w:spacing w:after="120"/>
        <w:rPr>
          <w:rFonts w:cstheme="minorHAnsi"/>
        </w:rPr>
      </w:pPr>
      <w:r w:rsidRPr="00A55A51">
        <w:rPr>
          <w:rFonts w:cstheme="minorHAnsi"/>
          <w:bCs/>
        </w:rPr>
        <w:t>Source: AgIncentives database</w:t>
      </w:r>
    </w:p>
    <w:p w14:paraId="282BE020" w14:textId="77777777" w:rsidR="00696B34" w:rsidRPr="00A55A51" w:rsidRDefault="00696B34" w:rsidP="00696B34">
      <w:pPr>
        <w:tabs>
          <w:tab w:val="left" w:pos="540"/>
        </w:tabs>
        <w:spacing w:after="120" w:line="360" w:lineRule="auto"/>
        <w:ind w:firstLine="562"/>
        <w:rPr>
          <w:rFonts w:cstheme="minorHAnsi"/>
        </w:rPr>
      </w:pPr>
    </w:p>
    <w:p w14:paraId="3641ED43" w14:textId="179A0FC1" w:rsidR="00696B34" w:rsidRPr="00A55A51" w:rsidRDefault="00696B34" w:rsidP="00696B34">
      <w:pPr>
        <w:tabs>
          <w:tab w:val="left" w:pos="540"/>
        </w:tabs>
        <w:spacing w:after="120" w:line="360" w:lineRule="auto"/>
        <w:ind w:firstLine="562"/>
        <w:rPr>
          <w:rFonts w:cstheme="minorHAnsi"/>
        </w:rPr>
      </w:pPr>
      <w:r w:rsidRPr="00A55A51">
        <w:rPr>
          <w:rFonts w:cstheme="minorHAnsi"/>
        </w:rPr>
        <w:t>In Table 3, we present global NRPs by commodity for the set of 31 economies available for all years. Clearly, the variation across commodities is enormous, with the average protection rate ranging from -40 percent for tea to 15 percent for maize. The volatility over time is similarly large for many commodities, with a variance of 120 for palm oil and 70 for rice. As shown by Francois and Martin (2004), the cost of protection depends on the square of the average rate of protection and its intertemporal variance, so these results point to a highly costly system of protection. Using longer samples of data, Martin, Mamun and Minot (20</w:t>
      </w:r>
      <w:r w:rsidR="0030565E">
        <w:rPr>
          <w:rFonts w:cstheme="minorHAnsi"/>
        </w:rPr>
        <w:t>2</w:t>
      </w:r>
      <w:r w:rsidRPr="00A55A51">
        <w:rPr>
          <w:rFonts w:cstheme="minorHAnsi"/>
        </w:rPr>
        <w:t xml:space="preserve">4) estimated that the direct costs of protection to rice came to $33 billion per year, or more than 10 percent of the value of global rice production, with over 60 percent of that cost coming from the volatility of its protection, rather than from its average level.  </w:t>
      </w:r>
    </w:p>
    <w:p w14:paraId="1A3801AD" w14:textId="28F3A0D9" w:rsidR="00696B34" w:rsidRPr="00A55A51" w:rsidRDefault="00696B34" w:rsidP="00696B34">
      <w:pPr>
        <w:tabs>
          <w:tab w:val="left" w:pos="540"/>
        </w:tabs>
        <w:spacing w:after="120" w:line="360" w:lineRule="auto"/>
        <w:ind w:firstLine="562"/>
        <w:rPr>
          <w:rFonts w:cstheme="minorHAnsi"/>
        </w:rPr>
      </w:pPr>
      <w:r w:rsidRPr="00A55A51">
        <w:rPr>
          <w:rFonts w:cstheme="minorHAnsi"/>
        </w:rPr>
        <w:t>Producers in livestock and dairy sectors have much higher average protection relative to crop sectors. All grains including rice, maize</w:t>
      </w:r>
      <w:r w:rsidR="00BE43BC" w:rsidRPr="00A55A51">
        <w:rPr>
          <w:rFonts w:cstheme="minorHAnsi"/>
        </w:rPr>
        <w:t>, and wheat</w:t>
      </w:r>
      <w:r w:rsidRPr="00A55A51">
        <w:rPr>
          <w:rFonts w:cstheme="minorHAnsi"/>
        </w:rPr>
        <w:t xml:space="preserve"> receive positive price support on average. The NRP </w:t>
      </w:r>
      <w:r w:rsidRPr="00A55A51">
        <w:rPr>
          <w:rFonts w:cstheme="minorHAnsi"/>
        </w:rPr>
        <w:lastRenderedPageBreak/>
        <w:t xml:space="preserve">for cassava shows no price support as the table includes data for only one country (Indonesia) for this commodity. Cash crops, such as coffee and tea, often have negative NRPs, as export taxes on these commodities are frequently used to raise revenue and to lower and stabilize consumer prices. This can result in highly volatile protection rates as seen in the series for palm oil. </w:t>
      </w:r>
    </w:p>
    <w:p w14:paraId="71A5179F" w14:textId="17DC623E" w:rsidR="00696B34" w:rsidRPr="00A55A51" w:rsidRDefault="00696B34" w:rsidP="00696B34">
      <w:pPr>
        <w:tabs>
          <w:tab w:val="left" w:pos="540"/>
        </w:tabs>
        <w:spacing w:after="120" w:line="360" w:lineRule="auto"/>
        <w:ind w:firstLine="562"/>
        <w:rPr>
          <w:rFonts w:cstheme="minorHAnsi"/>
        </w:rPr>
      </w:pPr>
      <w:r w:rsidRPr="00A55A51">
        <w:rPr>
          <w:rFonts w:cstheme="minorHAnsi"/>
        </w:rPr>
        <w:t xml:space="preserve">The differences in NRPs noted in Table 3 are primarily driven by agricultural policies, rather than by data or measurement errors.  The estimates in AgIncentives are based on high quality data on domestic and border prices adjusted to the same point in the marketing chain so that the changes in their relative prices are due to trade policies alone, after eliminating non-policy measures such as additive margins or changes in the direction of trade (Martin, Mamun and Minot 2024). </w:t>
      </w:r>
      <w:r w:rsidR="00BE43BC">
        <w:rPr>
          <w:rFonts w:cstheme="minorHAnsi"/>
        </w:rPr>
        <w:t>T</w:t>
      </w:r>
      <w:r w:rsidRPr="00A55A51">
        <w:rPr>
          <w:rFonts w:cstheme="minorHAnsi"/>
        </w:rPr>
        <w:t xml:space="preserve">he results in this table avoids the risk of creating intertemporal volatility due to changes in country composition, but risks being unrepresentative of the overall average sample. This can be important because developed countries have low protection rates in many commodities, while most developing countries have high NRPs (Gautam et al 2022).  </w:t>
      </w:r>
    </w:p>
    <w:p w14:paraId="65881D6E" w14:textId="573FECA5" w:rsidR="00696B34" w:rsidRPr="00A55A51" w:rsidRDefault="0027774F" w:rsidP="0027774F">
      <w:pPr>
        <w:pStyle w:val="Caption"/>
        <w:rPr>
          <w:rFonts w:asciiTheme="minorHAnsi" w:hAnsiTheme="minorHAnsi" w:cstheme="minorHAnsi"/>
          <w:bCs/>
        </w:rPr>
      </w:pPr>
      <w:bookmarkStart w:id="18" w:name="_Toc195128498"/>
      <w:r>
        <w:t xml:space="preserve">Table </w:t>
      </w:r>
      <w:fldSimple w:instr=" SEQ Table \* ARABIC ">
        <w:r>
          <w:rPr>
            <w:noProof/>
          </w:rPr>
          <w:t>3</w:t>
        </w:r>
      </w:fldSimple>
      <w:r w:rsidR="00696B34" w:rsidRPr="00A55A51">
        <w:rPr>
          <w:rFonts w:asciiTheme="minorHAnsi" w:hAnsiTheme="minorHAnsi" w:cstheme="minorHAnsi"/>
        </w:rPr>
        <w:t xml:space="preserve">: </w:t>
      </w:r>
      <w:r w:rsidR="00696B34" w:rsidRPr="0027774F">
        <w:rPr>
          <w:rFonts w:asciiTheme="minorHAnsi" w:hAnsiTheme="minorHAnsi" w:cstheme="minorHAnsi"/>
          <w:b w:val="0"/>
          <w:bCs/>
          <w:iCs w:val="0"/>
        </w:rPr>
        <w:t>Global NRPs by Commodity (%)</w:t>
      </w:r>
      <w:bookmarkEnd w:id="18"/>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990"/>
        <w:gridCol w:w="900"/>
        <w:gridCol w:w="990"/>
        <w:gridCol w:w="1080"/>
        <w:gridCol w:w="990"/>
        <w:gridCol w:w="1003"/>
        <w:gridCol w:w="1522"/>
      </w:tblGrid>
      <w:tr w:rsidR="00696B34" w:rsidRPr="00A55A51" w14:paraId="2BD0E9D6" w14:textId="77777777" w:rsidTr="009A252C">
        <w:trPr>
          <w:trHeight w:val="300"/>
        </w:trPr>
        <w:tc>
          <w:tcPr>
            <w:tcW w:w="1885" w:type="dxa"/>
            <w:shd w:val="clear" w:color="auto" w:fill="auto"/>
            <w:noWrap/>
            <w:hideMark/>
          </w:tcPr>
          <w:p w14:paraId="31DDE9BE" w14:textId="77777777" w:rsidR="00696B34" w:rsidRPr="00A55A51" w:rsidRDefault="00696B34" w:rsidP="009A252C">
            <w:pPr>
              <w:spacing w:after="0"/>
              <w:jc w:val="center"/>
              <w:rPr>
                <w:rFonts w:cstheme="minorHAnsi"/>
                <w:b/>
                <w:bCs/>
                <w:color w:val="000000"/>
              </w:rPr>
            </w:pPr>
            <w:r w:rsidRPr="00A55A51">
              <w:rPr>
                <w:rFonts w:cstheme="minorHAnsi"/>
                <w:b/>
                <w:bCs/>
                <w:color w:val="000000"/>
              </w:rPr>
              <w:t>Commodity</w:t>
            </w:r>
          </w:p>
        </w:tc>
        <w:tc>
          <w:tcPr>
            <w:tcW w:w="990" w:type="dxa"/>
            <w:shd w:val="clear" w:color="auto" w:fill="auto"/>
            <w:noWrap/>
            <w:hideMark/>
          </w:tcPr>
          <w:p w14:paraId="295CDD44" w14:textId="77777777" w:rsidR="00696B34" w:rsidRPr="00A55A51" w:rsidRDefault="00696B34" w:rsidP="009A252C">
            <w:pPr>
              <w:spacing w:after="0"/>
              <w:jc w:val="center"/>
              <w:rPr>
                <w:rFonts w:cstheme="minorHAnsi"/>
                <w:b/>
                <w:bCs/>
                <w:color w:val="000000"/>
              </w:rPr>
            </w:pPr>
            <w:r w:rsidRPr="00A55A51">
              <w:rPr>
                <w:rFonts w:cstheme="minorHAnsi"/>
                <w:b/>
                <w:bCs/>
                <w:color w:val="000000"/>
              </w:rPr>
              <w:t>2019</w:t>
            </w:r>
          </w:p>
        </w:tc>
        <w:tc>
          <w:tcPr>
            <w:tcW w:w="900" w:type="dxa"/>
            <w:shd w:val="clear" w:color="auto" w:fill="auto"/>
            <w:noWrap/>
            <w:hideMark/>
          </w:tcPr>
          <w:p w14:paraId="6AA138DE" w14:textId="77777777" w:rsidR="00696B34" w:rsidRPr="00A55A51" w:rsidRDefault="00696B34" w:rsidP="009A252C">
            <w:pPr>
              <w:spacing w:after="0"/>
              <w:jc w:val="center"/>
              <w:rPr>
                <w:rFonts w:cstheme="minorHAnsi"/>
                <w:b/>
                <w:bCs/>
                <w:color w:val="000000"/>
              </w:rPr>
            </w:pPr>
            <w:r w:rsidRPr="00A55A51">
              <w:rPr>
                <w:rFonts w:cstheme="minorHAnsi"/>
                <w:b/>
                <w:bCs/>
                <w:color w:val="000000"/>
              </w:rPr>
              <w:t>2020</w:t>
            </w:r>
          </w:p>
        </w:tc>
        <w:tc>
          <w:tcPr>
            <w:tcW w:w="990" w:type="dxa"/>
            <w:shd w:val="clear" w:color="auto" w:fill="auto"/>
            <w:noWrap/>
            <w:hideMark/>
          </w:tcPr>
          <w:p w14:paraId="460F7B35" w14:textId="77777777" w:rsidR="00696B34" w:rsidRPr="00A55A51" w:rsidRDefault="00696B34" w:rsidP="009A252C">
            <w:pPr>
              <w:spacing w:after="0"/>
              <w:jc w:val="center"/>
              <w:rPr>
                <w:rFonts w:cstheme="minorHAnsi"/>
                <w:b/>
                <w:bCs/>
                <w:color w:val="000000"/>
              </w:rPr>
            </w:pPr>
            <w:r w:rsidRPr="00A55A51">
              <w:rPr>
                <w:rFonts w:cstheme="minorHAnsi"/>
                <w:b/>
                <w:bCs/>
                <w:color w:val="000000"/>
              </w:rPr>
              <w:t>2021</w:t>
            </w:r>
          </w:p>
        </w:tc>
        <w:tc>
          <w:tcPr>
            <w:tcW w:w="1080" w:type="dxa"/>
            <w:shd w:val="clear" w:color="auto" w:fill="auto"/>
            <w:noWrap/>
            <w:hideMark/>
          </w:tcPr>
          <w:p w14:paraId="5AF682EF" w14:textId="77777777" w:rsidR="00696B34" w:rsidRPr="00A55A51" w:rsidRDefault="00696B34" w:rsidP="009A252C">
            <w:pPr>
              <w:spacing w:after="0"/>
              <w:jc w:val="center"/>
              <w:rPr>
                <w:rFonts w:cstheme="minorHAnsi"/>
                <w:b/>
                <w:bCs/>
                <w:color w:val="000000"/>
              </w:rPr>
            </w:pPr>
            <w:r w:rsidRPr="00A55A51">
              <w:rPr>
                <w:rFonts w:cstheme="minorHAnsi"/>
                <w:b/>
                <w:bCs/>
                <w:color w:val="000000"/>
              </w:rPr>
              <w:t>2022</w:t>
            </w:r>
          </w:p>
        </w:tc>
        <w:tc>
          <w:tcPr>
            <w:tcW w:w="990" w:type="dxa"/>
            <w:shd w:val="clear" w:color="auto" w:fill="auto"/>
            <w:noWrap/>
            <w:hideMark/>
          </w:tcPr>
          <w:p w14:paraId="3E09ED21" w14:textId="77777777" w:rsidR="00696B34" w:rsidRPr="00A55A51" w:rsidRDefault="00696B34" w:rsidP="009A252C">
            <w:pPr>
              <w:spacing w:after="0"/>
              <w:jc w:val="center"/>
              <w:rPr>
                <w:rFonts w:cstheme="minorHAnsi"/>
                <w:b/>
                <w:bCs/>
                <w:color w:val="000000"/>
              </w:rPr>
            </w:pPr>
            <w:r w:rsidRPr="00A55A51">
              <w:rPr>
                <w:rFonts w:cstheme="minorHAnsi"/>
                <w:b/>
                <w:bCs/>
                <w:color w:val="000000"/>
              </w:rPr>
              <w:t>2023</w:t>
            </w:r>
          </w:p>
        </w:tc>
        <w:tc>
          <w:tcPr>
            <w:tcW w:w="1080" w:type="dxa"/>
          </w:tcPr>
          <w:p w14:paraId="1DDAF0D1" w14:textId="77777777" w:rsidR="00696B34" w:rsidRPr="00A55A51" w:rsidRDefault="00696B34" w:rsidP="009A252C">
            <w:pPr>
              <w:spacing w:after="0"/>
              <w:jc w:val="center"/>
              <w:rPr>
                <w:rFonts w:cstheme="minorHAnsi"/>
                <w:b/>
                <w:bCs/>
                <w:color w:val="000000"/>
                <w:sz w:val="20"/>
                <w:szCs w:val="20"/>
              </w:rPr>
            </w:pPr>
            <w:r w:rsidRPr="00A55A51">
              <w:rPr>
                <w:rFonts w:cstheme="minorHAnsi"/>
                <w:b/>
                <w:bCs/>
                <w:color w:val="000000"/>
                <w:sz w:val="20"/>
                <w:szCs w:val="20"/>
              </w:rPr>
              <w:t>Average</w:t>
            </w:r>
          </w:p>
        </w:tc>
        <w:tc>
          <w:tcPr>
            <w:tcW w:w="1620" w:type="dxa"/>
          </w:tcPr>
          <w:p w14:paraId="735555FE" w14:textId="77777777" w:rsidR="00696B34" w:rsidRPr="00A55A51" w:rsidRDefault="00696B34" w:rsidP="009A252C">
            <w:pPr>
              <w:spacing w:after="0"/>
              <w:jc w:val="center"/>
              <w:rPr>
                <w:rFonts w:cstheme="minorHAnsi"/>
                <w:b/>
                <w:bCs/>
                <w:color w:val="000000"/>
                <w:sz w:val="20"/>
                <w:szCs w:val="20"/>
              </w:rPr>
            </w:pPr>
            <w:r w:rsidRPr="00A55A51">
              <w:rPr>
                <w:rFonts w:cstheme="minorHAnsi"/>
                <w:b/>
                <w:bCs/>
                <w:color w:val="000000"/>
                <w:sz w:val="20"/>
                <w:szCs w:val="20"/>
              </w:rPr>
              <w:t>Intertemporal Variance</w:t>
            </w:r>
          </w:p>
        </w:tc>
      </w:tr>
      <w:tr w:rsidR="00696B34" w:rsidRPr="00A55A51" w14:paraId="170C1A8E" w14:textId="77777777" w:rsidTr="009A252C">
        <w:trPr>
          <w:trHeight w:val="300"/>
        </w:trPr>
        <w:tc>
          <w:tcPr>
            <w:tcW w:w="1885" w:type="dxa"/>
            <w:shd w:val="clear" w:color="auto" w:fill="auto"/>
            <w:noWrap/>
            <w:vAlign w:val="bottom"/>
            <w:hideMark/>
          </w:tcPr>
          <w:p w14:paraId="08A77443" w14:textId="77777777" w:rsidR="00696B34" w:rsidRPr="00A55A51" w:rsidRDefault="00696B34" w:rsidP="009A252C">
            <w:pPr>
              <w:spacing w:after="0"/>
              <w:rPr>
                <w:rFonts w:cstheme="minorHAnsi"/>
                <w:color w:val="000000"/>
              </w:rPr>
            </w:pPr>
            <w:r w:rsidRPr="00A55A51">
              <w:rPr>
                <w:rFonts w:cstheme="minorHAnsi"/>
                <w:color w:val="000000"/>
              </w:rPr>
              <w:t>Bovine meat</w:t>
            </w:r>
          </w:p>
        </w:tc>
        <w:tc>
          <w:tcPr>
            <w:tcW w:w="990" w:type="dxa"/>
            <w:shd w:val="clear" w:color="auto" w:fill="auto"/>
            <w:noWrap/>
            <w:vAlign w:val="bottom"/>
            <w:hideMark/>
          </w:tcPr>
          <w:p w14:paraId="1B23E6B0" w14:textId="77777777" w:rsidR="00696B34" w:rsidRPr="00A55A51" w:rsidRDefault="00696B34" w:rsidP="009A252C">
            <w:pPr>
              <w:spacing w:after="0"/>
              <w:jc w:val="center"/>
              <w:rPr>
                <w:rFonts w:cstheme="minorHAnsi"/>
                <w:color w:val="000000"/>
              </w:rPr>
            </w:pPr>
            <w:r w:rsidRPr="00A55A51">
              <w:rPr>
                <w:rFonts w:cstheme="minorHAnsi"/>
                <w:color w:val="000000"/>
              </w:rPr>
              <w:t>9.4</w:t>
            </w:r>
          </w:p>
        </w:tc>
        <w:tc>
          <w:tcPr>
            <w:tcW w:w="900" w:type="dxa"/>
            <w:shd w:val="clear" w:color="auto" w:fill="auto"/>
            <w:noWrap/>
            <w:vAlign w:val="bottom"/>
            <w:hideMark/>
          </w:tcPr>
          <w:p w14:paraId="4B55B831" w14:textId="77777777" w:rsidR="00696B34" w:rsidRPr="00A55A51" w:rsidRDefault="00696B34" w:rsidP="009A252C">
            <w:pPr>
              <w:spacing w:after="0"/>
              <w:jc w:val="center"/>
              <w:rPr>
                <w:rFonts w:cstheme="minorHAnsi"/>
                <w:color w:val="000000"/>
              </w:rPr>
            </w:pPr>
            <w:r w:rsidRPr="00A55A51">
              <w:rPr>
                <w:rFonts w:cstheme="minorHAnsi"/>
                <w:color w:val="000000"/>
              </w:rPr>
              <w:t>7.3</w:t>
            </w:r>
          </w:p>
        </w:tc>
        <w:tc>
          <w:tcPr>
            <w:tcW w:w="990" w:type="dxa"/>
            <w:shd w:val="clear" w:color="auto" w:fill="auto"/>
            <w:noWrap/>
            <w:vAlign w:val="bottom"/>
            <w:hideMark/>
          </w:tcPr>
          <w:p w14:paraId="328809DE" w14:textId="77777777" w:rsidR="00696B34" w:rsidRPr="00A55A51" w:rsidRDefault="00696B34" w:rsidP="009A252C">
            <w:pPr>
              <w:spacing w:after="0"/>
              <w:jc w:val="center"/>
              <w:rPr>
                <w:rFonts w:cstheme="minorHAnsi"/>
                <w:color w:val="000000"/>
              </w:rPr>
            </w:pPr>
            <w:r w:rsidRPr="00A55A51">
              <w:rPr>
                <w:rFonts w:cstheme="minorHAnsi"/>
                <w:color w:val="000000"/>
              </w:rPr>
              <w:t>7.0</w:t>
            </w:r>
          </w:p>
        </w:tc>
        <w:tc>
          <w:tcPr>
            <w:tcW w:w="1080" w:type="dxa"/>
            <w:shd w:val="clear" w:color="auto" w:fill="auto"/>
            <w:noWrap/>
            <w:vAlign w:val="bottom"/>
            <w:hideMark/>
          </w:tcPr>
          <w:p w14:paraId="27EF49DD" w14:textId="77777777" w:rsidR="00696B34" w:rsidRPr="00A55A51" w:rsidRDefault="00696B34" w:rsidP="009A252C">
            <w:pPr>
              <w:spacing w:after="0"/>
              <w:jc w:val="center"/>
              <w:rPr>
                <w:rFonts w:cstheme="minorHAnsi"/>
                <w:color w:val="000000"/>
              </w:rPr>
            </w:pPr>
            <w:r w:rsidRPr="00A55A51">
              <w:rPr>
                <w:rFonts w:cstheme="minorHAnsi"/>
                <w:color w:val="000000"/>
              </w:rPr>
              <w:t>7.1</w:t>
            </w:r>
          </w:p>
        </w:tc>
        <w:tc>
          <w:tcPr>
            <w:tcW w:w="990" w:type="dxa"/>
            <w:shd w:val="clear" w:color="auto" w:fill="auto"/>
            <w:noWrap/>
            <w:vAlign w:val="bottom"/>
            <w:hideMark/>
          </w:tcPr>
          <w:p w14:paraId="21F17050" w14:textId="77777777" w:rsidR="00696B34" w:rsidRPr="00A55A51" w:rsidRDefault="00696B34" w:rsidP="009A252C">
            <w:pPr>
              <w:spacing w:after="0"/>
              <w:jc w:val="center"/>
              <w:rPr>
                <w:rFonts w:cstheme="minorHAnsi"/>
                <w:color w:val="000000"/>
              </w:rPr>
            </w:pPr>
            <w:r w:rsidRPr="00A55A51">
              <w:rPr>
                <w:rFonts w:cstheme="minorHAnsi"/>
                <w:color w:val="000000"/>
              </w:rPr>
              <w:t>8.6</w:t>
            </w:r>
          </w:p>
        </w:tc>
        <w:tc>
          <w:tcPr>
            <w:tcW w:w="1080" w:type="dxa"/>
            <w:vAlign w:val="bottom"/>
          </w:tcPr>
          <w:p w14:paraId="466E7C69" w14:textId="77777777" w:rsidR="00696B34" w:rsidRPr="00A55A51" w:rsidRDefault="00696B34" w:rsidP="009A252C">
            <w:pPr>
              <w:spacing w:after="0"/>
              <w:jc w:val="center"/>
              <w:rPr>
                <w:rFonts w:cstheme="minorHAnsi"/>
                <w:color w:val="000000"/>
              </w:rPr>
            </w:pPr>
            <w:r w:rsidRPr="00A55A51">
              <w:rPr>
                <w:rFonts w:cstheme="minorHAnsi"/>
                <w:color w:val="000000"/>
              </w:rPr>
              <w:t>7.9</w:t>
            </w:r>
          </w:p>
        </w:tc>
        <w:tc>
          <w:tcPr>
            <w:tcW w:w="1620" w:type="dxa"/>
            <w:vAlign w:val="bottom"/>
          </w:tcPr>
          <w:p w14:paraId="17A7AFB3" w14:textId="77777777" w:rsidR="00696B34" w:rsidRPr="00A55A51" w:rsidRDefault="00696B34" w:rsidP="009A252C">
            <w:pPr>
              <w:spacing w:after="0"/>
              <w:jc w:val="center"/>
              <w:rPr>
                <w:rFonts w:cstheme="minorHAnsi"/>
                <w:color w:val="000000"/>
              </w:rPr>
            </w:pPr>
            <w:r w:rsidRPr="00A55A51">
              <w:rPr>
                <w:rFonts w:cstheme="minorHAnsi"/>
                <w:color w:val="000000"/>
              </w:rPr>
              <w:t>1.1</w:t>
            </w:r>
          </w:p>
        </w:tc>
      </w:tr>
      <w:tr w:rsidR="00696B34" w:rsidRPr="00A55A51" w14:paraId="1DE8EC81" w14:textId="77777777" w:rsidTr="009A252C">
        <w:trPr>
          <w:trHeight w:val="300"/>
        </w:trPr>
        <w:tc>
          <w:tcPr>
            <w:tcW w:w="1885" w:type="dxa"/>
            <w:shd w:val="clear" w:color="auto" w:fill="auto"/>
            <w:noWrap/>
            <w:vAlign w:val="bottom"/>
            <w:hideMark/>
          </w:tcPr>
          <w:p w14:paraId="466379B9" w14:textId="77777777" w:rsidR="00696B34" w:rsidRPr="00A55A51" w:rsidRDefault="00696B34" w:rsidP="009A252C">
            <w:pPr>
              <w:spacing w:after="0"/>
              <w:rPr>
                <w:rFonts w:cstheme="minorHAnsi"/>
                <w:color w:val="000000"/>
              </w:rPr>
            </w:pPr>
            <w:r w:rsidRPr="00A55A51">
              <w:rPr>
                <w:rFonts w:cstheme="minorHAnsi"/>
                <w:color w:val="000000"/>
              </w:rPr>
              <w:t>Cassava</w:t>
            </w:r>
          </w:p>
        </w:tc>
        <w:tc>
          <w:tcPr>
            <w:tcW w:w="990" w:type="dxa"/>
            <w:shd w:val="clear" w:color="auto" w:fill="auto"/>
            <w:noWrap/>
            <w:vAlign w:val="bottom"/>
            <w:hideMark/>
          </w:tcPr>
          <w:p w14:paraId="71419AA0"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900" w:type="dxa"/>
            <w:shd w:val="clear" w:color="auto" w:fill="auto"/>
            <w:noWrap/>
            <w:vAlign w:val="bottom"/>
            <w:hideMark/>
          </w:tcPr>
          <w:p w14:paraId="7CD5E5F4"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990" w:type="dxa"/>
            <w:shd w:val="clear" w:color="auto" w:fill="auto"/>
            <w:noWrap/>
            <w:vAlign w:val="bottom"/>
            <w:hideMark/>
          </w:tcPr>
          <w:p w14:paraId="34E3CF55"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1080" w:type="dxa"/>
            <w:shd w:val="clear" w:color="auto" w:fill="auto"/>
            <w:noWrap/>
            <w:vAlign w:val="bottom"/>
            <w:hideMark/>
          </w:tcPr>
          <w:p w14:paraId="2295B5F0"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990" w:type="dxa"/>
            <w:shd w:val="clear" w:color="auto" w:fill="auto"/>
            <w:noWrap/>
            <w:vAlign w:val="bottom"/>
            <w:hideMark/>
          </w:tcPr>
          <w:p w14:paraId="64718BA8"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1080" w:type="dxa"/>
            <w:vAlign w:val="bottom"/>
          </w:tcPr>
          <w:p w14:paraId="73079334" w14:textId="77777777" w:rsidR="00696B34" w:rsidRPr="00A55A51" w:rsidRDefault="00696B34" w:rsidP="009A252C">
            <w:pPr>
              <w:spacing w:after="0"/>
              <w:jc w:val="center"/>
              <w:rPr>
                <w:rFonts w:cstheme="minorHAnsi"/>
                <w:color w:val="000000"/>
              </w:rPr>
            </w:pPr>
            <w:r w:rsidRPr="00A55A51">
              <w:rPr>
                <w:rFonts w:cstheme="minorHAnsi"/>
                <w:color w:val="000000"/>
              </w:rPr>
              <w:t>0.0</w:t>
            </w:r>
          </w:p>
        </w:tc>
        <w:tc>
          <w:tcPr>
            <w:tcW w:w="1620" w:type="dxa"/>
            <w:vAlign w:val="bottom"/>
          </w:tcPr>
          <w:p w14:paraId="04A736AB" w14:textId="77777777" w:rsidR="00696B34" w:rsidRPr="00A55A51" w:rsidRDefault="00696B34" w:rsidP="009A252C">
            <w:pPr>
              <w:spacing w:after="0"/>
              <w:jc w:val="center"/>
              <w:rPr>
                <w:rFonts w:cstheme="minorHAnsi"/>
                <w:color w:val="000000"/>
              </w:rPr>
            </w:pPr>
            <w:r w:rsidRPr="00A55A51">
              <w:rPr>
                <w:rFonts w:cstheme="minorHAnsi"/>
                <w:color w:val="000000"/>
              </w:rPr>
              <w:t>0.0</w:t>
            </w:r>
          </w:p>
        </w:tc>
      </w:tr>
      <w:tr w:rsidR="00696B34" w:rsidRPr="00A55A51" w14:paraId="25863DF3" w14:textId="77777777" w:rsidTr="009A252C">
        <w:trPr>
          <w:trHeight w:val="300"/>
        </w:trPr>
        <w:tc>
          <w:tcPr>
            <w:tcW w:w="1885" w:type="dxa"/>
            <w:shd w:val="clear" w:color="auto" w:fill="auto"/>
            <w:noWrap/>
            <w:vAlign w:val="bottom"/>
            <w:hideMark/>
          </w:tcPr>
          <w:p w14:paraId="0BC5D50D" w14:textId="77777777" w:rsidR="00696B34" w:rsidRPr="00A55A51" w:rsidRDefault="00696B34" w:rsidP="009A252C">
            <w:pPr>
              <w:spacing w:after="0"/>
              <w:rPr>
                <w:rFonts w:cstheme="minorHAnsi"/>
                <w:color w:val="000000"/>
              </w:rPr>
            </w:pPr>
            <w:r w:rsidRPr="00A55A51">
              <w:rPr>
                <w:rFonts w:cstheme="minorHAnsi"/>
                <w:color w:val="000000"/>
              </w:rPr>
              <w:t>Coffee</w:t>
            </w:r>
          </w:p>
        </w:tc>
        <w:tc>
          <w:tcPr>
            <w:tcW w:w="990" w:type="dxa"/>
            <w:shd w:val="clear" w:color="auto" w:fill="auto"/>
            <w:noWrap/>
            <w:vAlign w:val="bottom"/>
            <w:hideMark/>
          </w:tcPr>
          <w:p w14:paraId="3F8B1270" w14:textId="77777777" w:rsidR="00696B34" w:rsidRPr="00A55A51" w:rsidRDefault="00696B34" w:rsidP="009A252C">
            <w:pPr>
              <w:spacing w:after="0"/>
              <w:jc w:val="center"/>
              <w:rPr>
                <w:rFonts w:cstheme="minorHAnsi"/>
                <w:color w:val="000000"/>
              </w:rPr>
            </w:pPr>
            <w:r w:rsidRPr="00A55A51">
              <w:rPr>
                <w:rFonts w:cstheme="minorHAnsi"/>
                <w:color w:val="000000"/>
              </w:rPr>
              <w:t>-4.0</w:t>
            </w:r>
          </w:p>
        </w:tc>
        <w:tc>
          <w:tcPr>
            <w:tcW w:w="900" w:type="dxa"/>
            <w:shd w:val="clear" w:color="auto" w:fill="auto"/>
            <w:noWrap/>
            <w:vAlign w:val="bottom"/>
            <w:hideMark/>
          </w:tcPr>
          <w:p w14:paraId="554F2DCD" w14:textId="77777777" w:rsidR="00696B34" w:rsidRPr="00A55A51" w:rsidRDefault="00696B34" w:rsidP="009A252C">
            <w:pPr>
              <w:spacing w:after="0"/>
              <w:jc w:val="center"/>
              <w:rPr>
                <w:rFonts w:cstheme="minorHAnsi"/>
                <w:color w:val="000000"/>
              </w:rPr>
            </w:pPr>
            <w:r w:rsidRPr="00A55A51">
              <w:rPr>
                <w:rFonts w:cstheme="minorHAnsi"/>
                <w:color w:val="000000"/>
              </w:rPr>
              <w:t>-3.4</w:t>
            </w:r>
          </w:p>
        </w:tc>
        <w:tc>
          <w:tcPr>
            <w:tcW w:w="990" w:type="dxa"/>
            <w:shd w:val="clear" w:color="auto" w:fill="auto"/>
            <w:noWrap/>
            <w:vAlign w:val="bottom"/>
            <w:hideMark/>
          </w:tcPr>
          <w:p w14:paraId="599CE684" w14:textId="77777777" w:rsidR="00696B34" w:rsidRPr="00A55A51" w:rsidRDefault="00696B34" w:rsidP="009A252C">
            <w:pPr>
              <w:spacing w:after="0"/>
              <w:jc w:val="center"/>
              <w:rPr>
                <w:rFonts w:cstheme="minorHAnsi"/>
                <w:color w:val="000000"/>
              </w:rPr>
            </w:pPr>
            <w:r w:rsidRPr="00A55A51">
              <w:rPr>
                <w:rFonts w:cstheme="minorHAnsi"/>
                <w:color w:val="000000"/>
              </w:rPr>
              <w:t>-3.7</w:t>
            </w:r>
          </w:p>
        </w:tc>
        <w:tc>
          <w:tcPr>
            <w:tcW w:w="1080" w:type="dxa"/>
            <w:shd w:val="clear" w:color="auto" w:fill="auto"/>
            <w:noWrap/>
            <w:vAlign w:val="bottom"/>
            <w:hideMark/>
          </w:tcPr>
          <w:p w14:paraId="73443602" w14:textId="77777777" w:rsidR="00696B34" w:rsidRPr="00A55A51" w:rsidRDefault="00696B34" w:rsidP="009A252C">
            <w:pPr>
              <w:spacing w:after="0"/>
              <w:jc w:val="center"/>
              <w:rPr>
                <w:rFonts w:cstheme="minorHAnsi"/>
                <w:color w:val="000000"/>
              </w:rPr>
            </w:pPr>
            <w:r w:rsidRPr="00A55A51">
              <w:rPr>
                <w:rFonts w:cstheme="minorHAnsi"/>
                <w:color w:val="000000"/>
              </w:rPr>
              <w:t>-3.9</w:t>
            </w:r>
          </w:p>
        </w:tc>
        <w:tc>
          <w:tcPr>
            <w:tcW w:w="990" w:type="dxa"/>
            <w:shd w:val="clear" w:color="auto" w:fill="auto"/>
            <w:noWrap/>
            <w:vAlign w:val="bottom"/>
            <w:hideMark/>
          </w:tcPr>
          <w:p w14:paraId="1AD8E5B0" w14:textId="77777777" w:rsidR="00696B34" w:rsidRPr="00A55A51" w:rsidRDefault="00696B34" w:rsidP="009A252C">
            <w:pPr>
              <w:spacing w:after="0"/>
              <w:jc w:val="center"/>
              <w:rPr>
                <w:rFonts w:cstheme="minorHAnsi"/>
                <w:color w:val="000000"/>
              </w:rPr>
            </w:pPr>
            <w:r w:rsidRPr="00A55A51">
              <w:rPr>
                <w:rFonts w:cstheme="minorHAnsi"/>
                <w:color w:val="000000"/>
              </w:rPr>
              <w:t>-3.1</w:t>
            </w:r>
          </w:p>
        </w:tc>
        <w:tc>
          <w:tcPr>
            <w:tcW w:w="1080" w:type="dxa"/>
            <w:vAlign w:val="bottom"/>
          </w:tcPr>
          <w:p w14:paraId="0DF04744" w14:textId="77777777" w:rsidR="00696B34" w:rsidRPr="00A55A51" w:rsidRDefault="00696B34" w:rsidP="009A252C">
            <w:pPr>
              <w:spacing w:after="0"/>
              <w:jc w:val="center"/>
              <w:rPr>
                <w:rFonts w:cstheme="minorHAnsi"/>
                <w:color w:val="000000"/>
              </w:rPr>
            </w:pPr>
            <w:r w:rsidRPr="00A55A51">
              <w:rPr>
                <w:rFonts w:cstheme="minorHAnsi"/>
                <w:color w:val="000000"/>
              </w:rPr>
              <w:t>-3.6</w:t>
            </w:r>
          </w:p>
        </w:tc>
        <w:tc>
          <w:tcPr>
            <w:tcW w:w="1620" w:type="dxa"/>
            <w:vAlign w:val="bottom"/>
          </w:tcPr>
          <w:p w14:paraId="55EAA344" w14:textId="77777777" w:rsidR="00696B34" w:rsidRPr="00A55A51" w:rsidRDefault="00696B34" w:rsidP="009A252C">
            <w:pPr>
              <w:spacing w:after="0"/>
              <w:jc w:val="center"/>
              <w:rPr>
                <w:rFonts w:cstheme="minorHAnsi"/>
                <w:color w:val="000000"/>
              </w:rPr>
            </w:pPr>
            <w:r w:rsidRPr="00A55A51">
              <w:rPr>
                <w:rFonts w:cstheme="minorHAnsi"/>
                <w:color w:val="000000"/>
              </w:rPr>
              <w:t>0.1</w:t>
            </w:r>
          </w:p>
        </w:tc>
      </w:tr>
      <w:tr w:rsidR="00696B34" w:rsidRPr="00A55A51" w14:paraId="58DFF09E" w14:textId="77777777" w:rsidTr="009A252C">
        <w:trPr>
          <w:trHeight w:val="300"/>
        </w:trPr>
        <w:tc>
          <w:tcPr>
            <w:tcW w:w="1885" w:type="dxa"/>
            <w:shd w:val="clear" w:color="auto" w:fill="auto"/>
            <w:noWrap/>
            <w:vAlign w:val="bottom"/>
            <w:hideMark/>
          </w:tcPr>
          <w:p w14:paraId="2A034961" w14:textId="77777777" w:rsidR="00696B34" w:rsidRPr="00A55A51" w:rsidRDefault="00696B34" w:rsidP="009A252C">
            <w:pPr>
              <w:spacing w:after="0"/>
              <w:rPr>
                <w:rFonts w:cstheme="minorHAnsi"/>
                <w:color w:val="000000"/>
              </w:rPr>
            </w:pPr>
            <w:r w:rsidRPr="00A55A51">
              <w:rPr>
                <w:rFonts w:cstheme="minorHAnsi"/>
                <w:color w:val="000000"/>
              </w:rPr>
              <w:t>Eggs</w:t>
            </w:r>
          </w:p>
        </w:tc>
        <w:tc>
          <w:tcPr>
            <w:tcW w:w="990" w:type="dxa"/>
            <w:shd w:val="clear" w:color="auto" w:fill="auto"/>
            <w:noWrap/>
            <w:vAlign w:val="bottom"/>
            <w:hideMark/>
          </w:tcPr>
          <w:p w14:paraId="5B22C742" w14:textId="77777777" w:rsidR="00696B34" w:rsidRPr="00A55A51" w:rsidRDefault="00696B34" w:rsidP="009A252C">
            <w:pPr>
              <w:spacing w:after="0"/>
              <w:jc w:val="center"/>
              <w:rPr>
                <w:rFonts w:cstheme="minorHAnsi"/>
                <w:color w:val="000000"/>
              </w:rPr>
            </w:pPr>
            <w:r w:rsidRPr="00A55A51">
              <w:rPr>
                <w:rFonts w:cstheme="minorHAnsi"/>
                <w:color w:val="000000"/>
              </w:rPr>
              <w:t>5.7</w:t>
            </w:r>
          </w:p>
        </w:tc>
        <w:tc>
          <w:tcPr>
            <w:tcW w:w="900" w:type="dxa"/>
            <w:shd w:val="clear" w:color="auto" w:fill="auto"/>
            <w:noWrap/>
            <w:vAlign w:val="bottom"/>
            <w:hideMark/>
          </w:tcPr>
          <w:p w14:paraId="60431195" w14:textId="77777777" w:rsidR="00696B34" w:rsidRPr="00A55A51" w:rsidRDefault="00696B34" w:rsidP="009A252C">
            <w:pPr>
              <w:spacing w:after="0"/>
              <w:jc w:val="center"/>
              <w:rPr>
                <w:rFonts w:cstheme="minorHAnsi"/>
                <w:color w:val="000000"/>
              </w:rPr>
            </w:pPr>
            <w:r w:rsidRPr="00A55A51">
              <w:rPr>
                <w:rFonts w:cstheme="minorHAnsi"/>
                <w:color w:val="000000"/>
              </w:rPr>
              <w:t>7.3</w:t>
            </w:r>
          </w:p>
        </w:tc>
        <w:tc>
          <w:tcPr>
            <w:tcW w:w="990" w:type="dxa"/>
            <w:shd w:val="clear" w:color="auto" w:fill="auto"/>
            <w:noWrap/>
            <w:vAlign w:val="bottom"/>
            <w:hideMark/>
          </w:tcPr>
          <w:p w14:paraId="08065C78" w14:textId="77777777" w:rsidR="00696B34" w:rsidRPr="00A55A51" w:rsidRDefault="00696B34" w:rsidP="009A252C">
            <w:pPr>
              <w:spacing w:after="0"/>
              <w:jc w:val="center"/>
              <w:rPr>
                <w:rFonts w:cstheme="minorHAnsi"/>
                <w:color w:val="000000"/>
              </w:rPr>
            </w:pPr>
            <w:r w:rsidRPr="00A55A51">
              <w:rPr>
                <w:rFonts w:cstheme="minorHAnsi"/>
                <w:color w:val="000000"/>
              </w:rPr>
              <w:t>4.9</w:t>
            </w:r>
          </w:p>
        </w:tc>
        <w:tc>
          <w:tcPr>
            <w:tcW w:w="1080" w:type="dxa"/>
            <w:shd w:val="clear" w:color="auto" w:fill="auto"/>
            <w:noWrap/>
            <w:vAlign w:val="bottom"/>
            <w:hideMark/>
          </w:tcPr>
          <w:p w14:paraId="77162B2D" w14:textId="77777777" w:rsidR="00696B34" w:rsidRPr="00A55A51" w:rsidRDefault="00696B34" w:rsidP="009A252C">
            <w:pPr>
              <w:spacing w:after="0"/>
              <w:jc w:val="center"/>
              <w:rPr>
                <w:rFonts w:cstheme="minorHAnsi"/>
                <w:color w:val="000000"/>
              </w:rPr>
            </w:pPr>
            <w:r w:rsidRPr="00A55A51">
              <w:rPr>
                <w:rFonts w:cstheme="minorHAnsi"/>
                <w:color w:val="000000"/>
              </w:rPr>
              <w:t>3.3</w:t>
            </w:r>
          </w:p>
        </w:tc>
        <w:tc>
          <w:tcPr>
            <w:tcW w:w="990" w:type="dxa"/>
            <w:shd w:val="clear" w:color="auto" w:fill="auto"/>
            <w:noWrap/>
            <w:vAlign w:val="bottom"/>
            <w:hideMark/>
          </w:tcPr>
          <w:p w14:paraId="28835768" w14:textId="77777777" w:rsidR="00696B34" w:rsidRPr="00A55A51" w:rsidRDefault="00696B34" w:rsidP="009A252C">
            <w:pPr>
              <w:spacing w:after="0"/>
              <w:jc w:val="center"/>
              <w:rPr>
                <w:rFonts w:cstheme="minorHAnsi"/>
                <w:color w:val="000000"/>
              </w:rPr>
            </w:pPr>
            <w:r w:rsidRPr="00A55A51">
              <w:rPr>
                <w:rFonts w:cstheme="minorHAnsi"/>
                <w:color w:val="000000"/>
              </w:rPr>
              <w:t>3.7</w:t>
            </w:r>
          </w:p>
        </w:tc>
        <w:tc>
          <w:tcPr>
            <w:tcW w:w="1080" w:type="dxa"/>
            <w:vAlign w:val="bottom"/>
          </w:tcPr>
          <w:p w14:paraId="51BD0693" w14:textId="77777777" w:rsidR="00696B34" w:rsidRPr="00A55A51" w:rsidRDefault="00696B34" w:rsidP="009A252C">
            <w:pPr>
              <w:spacing w:after="0"/>
              <w:jc w:val="center"/>
              <w:rPr>
                <w:rFonts w:cstheme="minorHAnsi"/>
                <w:color w:val="000000"/>
              </w:rPr>
            </w:pPr>
            <w:r w:rsidRPr="00A55A51">
              <w:rPr>
                <w:rFonts w:cstheme="minorHAnsi"/>
                <w:color w:val="000000"/>
              </w:rPr>
              <w:t>5.0</w:t>
            </w:r>
          </w:p>
        </w:tc>
        <w:tc>
          <w:tcPr>
            <w:tcW w:w="1620" w:type="dxa"/>
            <w:vAlign w:val="bottom"/>
          </w:tcPr>
          <w:p w14:paraId="5BB20E6A" w14:textId="77777777" w:rsidR="00696B34" w:rsidRPr="00A55A51" w:rsidRDefault="00696B34" w:rsidP="009A252C">
            <w:pPr>
              <w:spacing w:after="0"/>
              <w:jc w:val="center"/>
              <w:rPr>
                <w:rFonts w:cstheme="minorHAnsi"/>
                <w:color w:val="000000"/>
              </w:rPr>
            </w:pPr>
            <w:r w:rsidRPr="00A55A51">
              <w:rPr>
                <w:rFonts w:cstheme="minorHAnsi"/>
                <w:color w:val="000000"/>
              </w:rPr>
              <w:t>2.6</w:t>
            </w:r>
          </w:p>
        </w:tc>
      </w:tr>
      <w:tr w:rsidR="00696B34" w:rsidRPr="00A55A51" w14:paraId="6B2F8EA1" w14:textId="77777777" w:rsidTr="009A252C">
        <w:trPr>
          <w:trHeight w:val="300"/>
        </w:trPr>
        <w:tc>
          <w:tcPr>
            <w:tcW w:w="1885" w:type="dxa"/>
            <w:shd w:val="clear" w:color="auto" w:fill="auto"/>
            <w:noWrap/>
            <w:vAlign w:val="bottom"/>
            <w:hideMark/>
          </w:tcPr>
          <w:p w14:paraId="221EBDC2" w14:textId="77777777" w:rsidR="00696B34" w:rsidRPr="00A55A51" w:rsidRDefault="00696B34" w:rsidP="009A252C">
            <w:pPr>
              <w:spacing w:after="0"/>
              <w:rPr>
                <w:rFonts w:cstheme="minorHAnsi"/>
                <w:color w:val="000000"/>
              </w:rPr>
            </w:pPr>
            <w:r w:rsidRPr="00A55A51">
              <w:rPr>
                <w:rFonts w:cstheme="minorHAnsi"/>
                <w:color w:val="000000"/>
              </w:rPr>
              <w:t>Maize</w:t>
            </w:r>
          </w:p>
        </w:tc>
        <w:tc>
          <w:tcPr>
            <w:tcW w:w="990" w:type="dxa"/>
            <w:shd w:val="clear" w:color="auto" w:fill="auto"/>
            <w:noWrap/>
            <w:vAlign w:val="bottom"/>
            <w:hideMark/>
          </w:tcPr>
          <w:p w14:paraId="10628595" w14:textId="77777777" w:rsidR="00696B34" w:rsidRPr="00A55A51" w:rsidRDefault="00696B34" w:rsidP="009A252C">
            <w:pPr>
              <w:spacing w:after="0"/>
              <w:jc w:val="center"/>
              <w:rPr>
                <w:rFonts w:cstheme="minorHAnsi"/>
                <w:color w:val="000000"/>
              </w:rPr>
            </w:pPr>
            <w:r w:rsidRPr="00A55A51">
              <w:rPr>
                <w:rFonts w:cstheme="minorHAnsi"/>
                <w:color w:val="000000"/>
              </w:rPr>
              <w:t>11.1</w:t>
            </w:r>
          </w:p>
        </w:tc>
        <w:tc>
          <w:tcPr>
            <w:tcW w:w="900" w:type="dxa"/>
            <w:shd w:val="clear" w:color="auto" w:fill="auto"/>
            <w:noWrap/>
            <w:vAlign w:val="bottom"/>
            <w:hideMark/>
          </w:tcPr>
          <w:p w14:paraId="2EAB7142" w14:textId="77777777" w:rsidR="00696B34" w:rsidRPr="00A55A51" w:rsidRDefault="00696B34" w:rsidP="009A252C">
            <w:pPr>
              <w:spacing w:after="0"/>
              <w:jc w:val="center"/>
              <w:rPr>
                <w:rFonts w:cstheme="minorHAnsi"/>
                <w:color w:val="000000"/>
              </w:rPr>
            </w:pPr>
            <w:r w:rsidRPr="00A55A51">
              <w:rPr>
                <w:rFonts w:cstheme="minorHAnsi"/>
                <w:color w:val="000000"/>
              </w:rPr>
              <w:t>19.6</w:t>
            </w:r>
          </w:p>
        </w:tc>
        <w:tc>
          <w:tcPr>
            <w:tcW w:w="990" w:type="dxa"/>
            <w:shd w:val="clear" w:color="auto" w:fill="auto"/>
            <w:noWrap/>
            <w:vAlign w:val="bottom"/>
            <w:hideMark/>
          </w:tcPr>
          <w:p w14:paraId="0224B970" w14:textId="77777777" w:rsidR="00696B34" w:rsidRPr="00A55A51" w:rsidRDefault="00696B34" w:rsidP="009A252C">
            <w:pPr>
              <w:spacing w:after="0"/>
              <w:jc w:val="center"/>
              <w:rPr>
                <w:rFonts w:cstheme="minorHAnsi"/>
                <w:color w:val="000000"/>
              </w:rPr>
            </w:pPr>
            <w:r w:rsidRPr="00A55A51">
              <w:rPr>
                <w:rFonts w:cstheme="minorHAnsi"/>
                <w:color w:val="000000"/>
              </w:rPr>
              <w:t>21.9</w:t>
            </w:r>
          </w:p>
        </w:tc>
        <w:tc>
          <w:tcPr>
            <w:tcW w:w="1080" w:type="dxa"/>
            <w:shd w:val="clear" w:color="auto" w:fill="auto"/>
            <w:noWrap/>
            <w:vAlign w:val="bottom"/>
            <w:hideMark/>
          </w:tcPr>
          <w:p w14:paraId="55EAA39A" w14:textId="77777777" w:rsidR="00696B34" w:rsidRPr="00A55A51" w:rsidRDefault="00696B34" w:rsidP="009A252C">
            <w:pPr>
              <w:spacing w:after="0"/>
              <w:jc w:val="center"/>
              <w:rPr>
                <w:rFonts w:cstheme="minorHAnsi"/>
                <w:color w:val="000000"/>
              </w:rPr>
            </w:pPr>
            <w:r w:rsidRPr="00A55A51">
              <w:rPr>
                <w:rFonts w:cstheme="minorHAnsi"/>
                <w:color w:val="000000"/>
              </w:rPr>
              <w:t>10.9</w:t>
            </w:r>
          </w:p>
        </w:tc>
        <w:tc>
          <w:tcPr>
            <w:tcW w:w="990" w:type="dxa"/>
            <w:shd w:val="clear" w:color="auto" w:fill="auto"/>
            <w:noWrap/>
            <w:vAlign w:val="bottom"/>
            <w:hideMark/>
          </w:tcPr>
          <w:p w14:paraId="25932158" w14:textId="77777777" w:rsidR="00696B34" w:rsidRPr="00A55A51" w:rsidRDefault="00696B34" w:rsidP="009A252C">
            <w:pPr>
              <w:spacing w:after="0"/>
              <w:jc w:val="center"/>
              <w:rPr>
                <w:rFonts w:cstheme="minorHAnsi"/>
                <w:color w:val="000000"/>
              </w:rPr>
            </w:pPr>
            <w:r w:rsidRPr="00A55A51">
              <w:rPr>
                <w:rFonts w:cstheme="minorHAnsi"/>
                <w:color w:val="000000"/>
              </w:rPr>
              <w:t>13.5</w:t>
            </w:r>
          </w:p>
        </w:tc>
        <w:tc>
          <w:tcPr>
            <w:tcW w:w="1080" w:type="dxa"/>
            <w:vAlign w:val="bottom"/>
          </w:tcPr>
          <w:p w14:paraId="1872E1A5" w14:textId="77777777" w:rsidR="00696B34" w:rsidRPr="00A55A51" w:rsidRDefault="00696B34" w:rsidP="009A252C">
            <w:pPr>
              <w:spacing w:after="0"/>
              <w:jc w:val="center"/>
              <w:rPr>
                <w:rFonts w:cstheme="minorHAnsi"/>
                <w:color w:val="000000"/>
              </w:rPr>
            </w:pPr>
            <w:r w:rsidRPr="00A55A51">
              <w:rPr>
                <w:rFonts w:cstheme="minorHAnsi"/>
                <w:color w:val="000000"/>
              </w:rPr>
              <w:t>15.4</w:t>
            </w:r>
          </w:p>
        </w:tc>
        <w:tc>
          <w:tcPr>
            <w:tcW w:w="1620" w:type="dxa"/>
            <w:vAlign w:val="bottom"/>
          </w:tcPr>
          <w:p w14:paraId="0A474505" w14:textId="77777777" w:rsidR="00696B34" w:rsidRPr="00A55A51" w:rsidRDefault="00696B34" w:rsidP="009A252C">
            <w:pPr>
              <w:spacing w:after="0"/>
              <w:jc w:val="center"/>
              <w:rPr>
                <w:rFonts w:cstheme="minorHAnsi"/>
                <w:color w:val="000000"/>
              </w:rPr>
            </w:pPr>
            <w:r w:rsidRPr="00A55A51">
              <w:rPr>
                <w:rFonts w:cstheme="minorHAnsi"/>
                <w:color w:val="000000"/>
              </w:rPr>
              <w:t>25.6</w:t>
            </w:r>
          </w:p>
        </w:tc>
      </w:tr>
      <w:tr w:rsidR="00696B34" w:rsidRPr="00A55A51" w14:paraId="181A18F2" w14:textId="77777777" w:rsidTr="009A252C">
        <w:trPr>
          <w:trHeight w:val="300"/>
        </w:trPr>
        <w:tc>
          <w:tcPr>
            <w:tcW w:w="1885" w:type="dxa"/>
            <w:shd w:val="clear" w:color="auto" w:fill="auto"/>
            <w:noWrap/>
            <w:vAlign w:val="bottom"/>
            <w:hideMark/>
          </w:tcPr>
          <w:p w14:paraId="1A7FB113" w14:textId="77777777" w:rsidR="00696B34" w:rsidRPr="00A55A51" w:rsidRDefault="00696B34" w:rsidP="009A252C">
            <w:pPr>
              <w:spacing w:after="0"/>
              <w:rPr>
                <w:rFonts w:cstheme="minorHAnsi"/>
                <w:color w:val="000000"/>
              </w:rPr>
            </w:pPr>
            <w:r w:rsidRPr="00A55A51">
              <w:rPr>
                <w:rFonts w:cstheme="minorHAnsi"/>
                <w:color w:val="000000"/>
              </w:rPr>
              <w:t>Milk</w:t>
            </w:r>
          </w:p>
        </w:tc>
        <w:tc>
          <w:tcPr>
            <w:tcW w:w="990" w:type="dxa"/>
            <w:shd w:val="clear" w:color="auto" w:fill="auto"/>
            <w:noWrap/>
            <w:vAlign w:val="bottom"/>
            <w:hideMark/>
          </w:tcPr>
          <w:p w14:paraId="2FB8DFAC" w14:textId="77777777" w:rsidR="00696B34" w:rsidRPr="00A55A51" w:rsidRDefault="00696B34" w:rsidP="009A252C">
            <w:pPr>
              <w:spacing w:after="0"/>
              <w:jc w:val="center"/>
              <w:rPr>
                <w:rFonts w:cstheme="minorHAnsi"/>
                <w:color w:val="000000"/>
              </w:rPr>
            </w:pPr>
            <w:r w:rsidRPr="00A55A51">
              <w:rPr>
                <w:rFonts w:cstheme="minorHAnsi"/>
                <w:color w:val="000000"/>
              </w:rPr>
              <w:t>-5.7</w:t>
            </w:r>
          </w:p>
        </w:tc>
        <w:tc>
          <w:tcPr>
            <w:tcW w:w="900" w:type="dxa"/>
            <w:shd w:val="clear" w:color="auto" w:fill="auto"/>
            <w:noWrap/>
            <w:vAlign w:val="bottom"/>
            <w:hideMark/>
          </w:tcPr>
          <w:p w14:paraId="6269A50C" w14:textId="77777777" w:rsidR="00696B34" w:rsidRPr="00A55A51" w:rsidRDefault="00696B34" w:rsidP="009A252C">
            <w:pPr>
              <w:spacing w:after="0"/>
              <w:jc w:val="center"/>
              <w:rPr>
                <w:rFonts w:cstheme="minorHAnsi"/>
                <w:color w:val="000000"/>
              </w:rPr>
            </w:pPr>
            <w:r w:rsidRPr="00A55A51">
              <w:rPr>
                <w:rFonts w:cstheme="minorHAnsi"/>
                <w:color w:val="000000"/>
              </w:rPr>
              <w:t>-4.3</w:t>
            </w:r>
          </w:p>
        </w:tc>
        <w:tc>
          <w:tcPr>
            <w:tcW w:w="990" w:type="dxa"/>
            <w:shd w:val="clear" w:color="auto" w:fill="auto"/>
            <w:noWrap/>
            <w:vAlign w:val="bottom"/>
            <w:hideMark/>
          </w:tcPr>
          <w:p w14:paraId="09ED95DA" w14:textId="77777777" w:rsidR="00696B34" w:rsidRPr="00A55A51" w:rsidRDefault="00696B34" w:rsidP="009A252C">
            <w:pPr>
              <w:spacing w:after="0"/>
              <w:jc w:val="center"/>
              <w:rPr>
                <w:rFonts w:cstheme="minorHAnsi"/>
                <w:color w:val="000000"/>
              </w:rPr>
            </w:pPr>
            <w:r w:rsidRPr="00A55A51">
              <w:rPr>
                <w:rFonts w:cstheme="minorHAnsi"/>
                <w:color w:val="000000"/>
              </w:rPr>
              <w:t>-14.3</w:t>
            </w:r>
          </w:p>
        </w:tc>
        <w:tc>
          <w:tcPr>
            <w:tcW w:w="1080" w:type="dxa"/>
            <w:shd w:val="clear" w:color="auto" w:fill="auto"/>
            <w:noWrap/>
            <w:vAlign w:val="bottom"/>
            <w:hideMark/>
          </w:tcPr>
          <w:p w14:paraId="7A9A9386" w14:textId="77777777" w:rsidR="00696B34" w:rsidRPr="00A55A51" w:rsidRDefault="00696B34" w:rsidP="009A252C">
            <w:pPr>
              <w:spacing w:after="0"/>
              <w:jc w:val="center"/>
              <w:rPr>
                <w:rFonts w:cstheme="minorHAnsi"/>
                <w:color w:val="000000"/>
              </w:rPr>
            </w:pPr>
            <w:r w:rsidRPr="00A55A51">
              <w:rPr>
                <w:rFonts w:cstheme="minorHAnsi"/>
                <w:color w:val="000000"/>
              </w:rPr>
              <w:t>-12.9</w:t>
            </w:r>
          </w:p>
        </w:tc>
        <w:tc>
          <w:tcPr>
            <w:tcW w:w="990" w:type="dxa"/>
            <w:shd w:val="clear" w:color="auto" w:fill="auto"/>
            <w:noWrap/>
            <w:vAlign w:val="bottom"/>
            <w:hideMark/>
          </w:tcPr>
          <w:p w14:paraId="171A78E3" w14:textId="77777777" w:rsidR="00696B34" w:rsidRPr="00A55A51" w:rsidRDefault="00696B34" w:rsidP="009A252C">
            <w:pPr>
              <w:spacing w:after="0"/>
              <w:jc w:val="center"/>
              <w:rPr>
                <w:rFonts w:cstheme="minorHAnsi"/>
                <w:color w:val="000000"/>
              </w:rPr>
            </w:pPr>
            <w:r w:rsidRPr="00A55A51">
              <w:rPr>
                <w:rFonts w:cstheme="minorHAnsi"/>
                <w:color w:val="000000"/>
              </w:rPr>
              <w:t>-8.3</w:t>
            </w:r>
          </w:p>
        </w:tc>
        <w:tc>
          <w:tcPr>
            <w:tcW w:w="1080" w:type="dxa"/>
            <w:vAlign w:val="bottom"/>
          </w:tcPr>
          <w:p w14:paraId="6D9C6405" w14:textId="77777777" w:rsidR="00696B34" w:rsidRPr="00A55A51" w:rsidRDefault="00696B34" w:rsidP="009A252C">
            <w:pPr>
              <w:spacing w:after="0"/>
              <w:jc w:val="center"/>
              <w:rPr>
                <w:rFonts w:cstheme="minorHAnsi"/>
                <w:color w:val="000000"/>
              </w:rPr>
            </w:pPr>
            <w:r w:rsidRPr="00A55A51">
              <w:rPr>
                <w:rFonts w:cstheme="minorHAnsi"/>
                <w:color w:val="000000"/>
              </w:rPr>
              <w:t>-9.1</w:t>
            </w:r>
          </w:p>
        </w:tc>
        <w:tc>
          <w:tcPr>
            <w:tcW w:w="1620" w:type="dxa"/>
            <w:vAlign w:val="bottom"/>
          </w:tcPr>
          <w:p w14:paraId="23B5FF91" w14:textId="77777777" w:rsidR="00696B34" w:rsidRPr="00A55A51" w:rsidRDefault="00696B34" w:rsidP="009A252C">
            <w:pPr>
              <w:spacing w:after="0"/>
              <w:jc w:val="center"/>
              <w:rPr>
                <w:rFonts w:cstheme="minorHAnsi"/>
                <w:color w:val="000000"/>
              </w:rPr>
            </w:pPr>
            <w:r w:rsidRPr="00A55A51">
              <w:rPr>
                <w:rFonts w:cstheme="minorHAnsi"/>
                <w:color w:val="000000"/>
              </w:rPr>
              <w:t>19.2</w:t>
            </w:r>
          </w:p>
        </w:tc>
      </w:tr>
      <w:tr w:rsidR="00696B34" w:rsidRPr="00A55A51" w14:paraId="4DE0C588" w14:textId="77777777" w:rsidTr="009A252C">
        <w:trPr>
          <w:trHeight w:val="300"/>
        </w:trPr>
        <w:tc>
          <w:tcPr>
            <w:tcW w:w="1885" w:type="dxa"/>
            <w:shd w:val="clear" w:color="auto" w:fill="auto"/>
            <w:noWrap/>
            <w:vAlign w:val="bottom"/>
            <w:hideMark/>
          </w:tcPr>
          <w:p w14:paraId="3C3BC964" w14:textId="77777777" w:rsidR="00696B34" w:rsidRPr="00A55A51" w:rsidRDefault="00696B34" w:rsidP="009A252C">
            <w:pPr>
              <w:spacing w:after="0"/>
              <w:rPr>
                <w:rFonts w:cstheme="minorHAnsi"/>
                <w:color w:val="000000"/>
              </w:rPr>
            </w:pPr>
            <w:r w:rsidRPr="00A55A51">
              <w:rPr>
                <w:rFonts w:cstheme="minorHAnsi"/>
                <w:color w:val="000000"/>
              </w:rPr>
              <w:t>Palm oil</w:t>
            </w:r>
          </w:p>
        </w:tc>
        <w:tc>
          <w:tcPr>
            <w:tcW w:w="990" w:type="dxa"/>
            <w:shd w:val="clear" w:color="auto" w:fill="auto"/>
            <w:noWrap/>
            <w:vAlign w:val="bottom"/>
            <w:hideMark/>
          </w:tcPr>
          <w:p w14:paraId="5CA9D41F" w14:textId="77777777" w:rsidR="00696B34" w:rsidRPr="00A55A51" w:rsidRDefault="00696B34" w:rsidP="009A252C">
            <w:pPr>
              <w:spacing w:after="0"/>
              <w:jc w:val="center"/>
              <w:rPr>
                <w:rFonts w:cstheme="minorHAnsi"/>
                <w:color w:val="000000"/>
              </w:rPr>
            </w:pPr>
            <w:r w:rsidRPr="00A55A51">
              <w:rPr>
                <w:rFonts w:cstheme="minorHAnsi"/>
                <w:color w:val="000000"/>
              </w:rPr>
              <w:t>-10.4</w:t>
            </w:r>
          </w:p>
        </w:tc>
        <w:tc>
          <w:tcPr>
            <w:tcW w:w="900" w:type="dxa"/>
            <w:shd w:val="clear" w:color="auto" w:fill="auto"/>
            <w:noWrap/>
            <w:vAlign w:val="bottom"/>
            <w:hideMark/>
          </w:tcPr>
          <w:p w14:paraId="7A3B9E72" w14:textId="77777777" w:rsidR="00696B34" w:rsidRPr="00A55A51" w:rsidRDefault="00696B34" w:rsidP="009A252C">
            <w:pPr>
              <w:spacing w:after="0"/>
              <w:jc w:val="center"/>
              <w:rPr>
                <w:rFonts w:cstheme="minorHAnsi"/>
                <w:color w:val="000000"/>
              </w:rPr>
            </w:pPr>
            <w:r w:rsidRPr="00A55A51">
              <w:rPr>
                <w:rFonts w:cstheme="minorHAnsi"/>
                <w:color w:val="000000"/>
              </w:rPr>
              <w:t>-14.4</w:t>
            </w:r>
          </w:p>
        </w:tc>
        <w:tc>
          <w:tcPr>
            <w:tcW w:w="990" w:type="dxa"/>
            <w:shd w:val="clear" w:color="auto" w:fill="auto"/>
            <w:noWrap/>
            <w:vAlign w:val="bottom"/>
            <w:hideMark/>
          </w:tcPr>
          <w:p w14:paraId="5C3A7EE9" w14:textId="77777777" w:rsidR="00696B34" w:rsidRPr="00A55A51" w:rsidRDefault="00696B34" w:rsidP="009A252C">
            <w:pPr>
              <w:spacing w:after="0"/>
              <w:jc w:val="center"/>
              <w:rPr>
                <w:rFonts w:cstheme="minorHAnsi"/>
                <w:color w:val="000000"/>
              </w:rPr>
            </w:pPr>
            <w:r w:rsidRPr="00A55A51">
              <w:rPr>
                <w:rFonts w:cstheme="minorHAnsi"/>
                <w:color w:val="000000"/>
              </w:rPr>
              <w:t>-37.3</w:t>
            </w:r>
          </w:p>
        </w:tc>
        <w:tc>
          <w:tcPr>
            <w:tcW w:w="1080" w:type="dxa"/>
            <w:shd w:val="clear" w:color="auto" w:fill="auto"/>
            <w:noWrap/>
            <w:vAlign w:val="bottom"/>
            <w:hideMark/>
          </w:tcPr>
          <w:p w14:paraId="4B23A874" w14:textId="77777777" w:rsidR="00696B34" w:rsidRPr="00A55A51" w:rsidRDefault="00696B34" w:rsidP="009A252C">
            <w:pPr>
              <w:spacing w:after="0"/>
              <w:jc w:val="center"/>
              <w:rPr>
                <w:rFonts w:cstheme="minorHAnsi"/>
                <w:color w:val="000000"/>
              </w:rPr>
            </w:pPr>
            <w:r w:rsidRPr="00A55A51">
              <w:rPr>
                <w:rFonts w:cstheme="minorHAnsi"/>
                <w:color w:val="000000"/>
              </w:rPr>
              <w:t>-25.1</w:t>
            </w:r>
          </w:p>
        </w:tc>
        <w:tc>
          <w:tcPr>
            <w:tcW w:w="990" w:type="dxa"/>
            <w:shd w:val="clear" w:color="auto" w:fill="auto"/>
            <w:noWrap/>
            <w:vAlign w:val="bottom"/>
            <w:hideMark/>
          </w:tcPr>
          <w:p w14:paraId="320254FD" w14:textId="77777777" w:rsidR="00696B34" w:rsidRPr="00A55A51" w:rsidRDefault="00696B34" w:rsidP="009A252C">
            <w:pPr>
              <w:spacing w:after="0"/>
              <w:jc w:val="center"/>
              <w:rPr>
                <w:rFonts w:cstheme="minorHAnsi"/>
                <w:color w:val="000000"/>
              </w:rPr>
            </w:pPr>
            <w:r w:rsidRPr="00A55A51">
              <w:rPr>
                <w:rFonts w:cstheme="minorHAnsi"/>
                <w:color w:val="000000"/>
              </w:rPr>
              <w:t>-14.5</w:t>
            </w:r>
          </w:p>
        </w:tc>
        <w:tc>
          <w:tcPr>
            <w:tcW w:w="1080" w:type="dxa"/>
            <w:vAlign w:val="bottom"/>
          </w:tcPr>
          <w:p w14:paraId="1E834880" w14:textId="77777777" w:rsidR="00696B34" w:rsidRPr="00A55A51" w:rsidRDefault="00696B34" w:rsidP="009A252C">
            <w:pPr>
              <w:spacing w:after="0"/>
              <w:jc w:val="center"/>
              <w:rPr>
                <w:rFonts w:cstheme="minorHAnsi"/>
                <w:color w:val="000000"/>
              </w:rPr>
            </w:pPr>
            <w:r w:rsidRPr="00A55A51">
              <w:rPr>
                <w:rFonts w:cstheme="minorHAnsi"/>
                <w:color w:val="000000"/>
              </w:rPr>
              <w:t>-20.3</w:t>
            </w:r>
          </w:p>
        </w:tc>
        <w:tc>
          <w:tcPr>
            <w:tcW w:w="1620" w:type="dxa"/>
            <w:vAlign w:val="bottom"/>
          </w:tcPr>
          <w:p w14:paraId="2D812121" w14:textId="77777777" w:rsidR="00696B34" w:rsidRPr="00A55A51" w:rsidRDefault="00696B34" w:rsidP="009A252C">
            <w:pPr>
              <w:spacing w:after="0"/>
              <w:jc w:val="center"/>
              <w:rPr>
                <w:rFonts w:cstheme="minorHAnsi"/>
                <w:color w:val="000000"/>
              </w:rPr>
            </w:pPr>
            <w:r w:rsidRPr="00A55A51">
              <w:rPr>
                <w:rFonts w:cstheme="minorHAnsi"/>
                <w:color w:val="000000"/>
              </w:rPr>
              <w:t>119.6</w:t>
            </w:r>
          </w:p>
        </w:tc>
      </w:tr>
      <w:tr w:rsidR="00696B34" w:rsidRPr="00A55A51" w14:paraId="64B9892A" w14:textId="77777777" w:rsidTr="009A252C">
        <w:trPr>
          <w:trHeight w:val="300"/>
        </w:trPr>
        <w:tc>
          <w:tcPr>
            <w:tcW w:w="1885" w:type="dxa"/>
            <w:shd w:val="clear" w:color="auto" w:fill="auto"/>
            <w:noWrap/>
            <w:vAlign w:val="bottom"/>
            <w:hideMark/>
          </w:tcPr>
          <w:p w14:paraId="4306C461" w14:textId="77777777" w:rsidR="00696B34" w:rsidRPr="00A55A51" w:rsidRDefault="00696B34" w:rsidP="009A252C">
            <w:pPr>
              <w:spacing w:after="0"/>
              <w:rPr>
                <w:rFonts w:cstheme="minorHAnsi"/>
                <w:color w:val="000000"/>
              </w:rPr>
            </w:pPr>
            <w:r w:rsidRPr="00A55A51">
              <w:rPr>
                <w:rFonts w:cstheme="minorHAnsi"/>
                <w:color w:val="000000"/>
              </w:rPr>
              <w:t>Pig meat</w:t>
            </w:r>
          </w:p>
        </w:tc>
        <w:tc>
          <w:tcPr>
            <w:tcW w:w="990" w:type="dxa"/>
            <w:shd w:val="clear" w:color="auto" w:fill="auto"/>
            <w:noWrap/>
            <w:vAlign w:val="bottom"/>
            <w:hideMark/>
          </w:tcPr>
          <w:p w14:paraId="75A88C23" w14:textId="77777777" w:rsidR="00696B34" w:rsidRPr="00A55A51" w:rsidRDefault="00696B34" w:rsidP="009A252C">
            <w:pPr>
              <w:spacing w:after="0"/>
              <w:jc w:val="center"/>
              <w:rPr>
                <w:rFonts w:cstheme="minorHAnsi"/>
                <w:color w:val="000000"/>
              </w:rPr>
            </w:pPr>
            <w:r w:rsidRPr="00A55A51">
              <w:rPr>
                <w:rFonts w:cstheme="minorHAnsi"/>
                <w:color w:val="000000"/>
              </w:rPr>
              <w:t>12.2</w:t>
            </w:r>
          </w:p>
        </w:tc>
        <w:tc>
          <w:tcPr>
            <w:tcW w:w="900" w:type="dxa"/>
            <w:shd w:val="clear" w:color="auto" w:fill="auto"/>
            <w:noWrap/>
            <w:vAlign w:val="bottom"/>
            <w:hideMark/>
          </w:tcPr>
          <w:p w14:paraId="5E14FED1" w14:textId="77777777" w:rsidR="00696B34" w:rsidRPr="00A55A51" w:rsidRDefault="00696B34" w:rsidP="009A252C">
            <w:pPr>
              <w:spacing w:after="0"/>
              <w:jc w:val="center"/>
              <w:rPr>
                <w:rFonts w:cstheme="minorHAnsi"/>
                <w:color w:val="000000"/>
              </w:rPr>
            </w:pPr>
            <w:r w:rsidRPr="00A55A51">
              <w:rPr>
                <w:rFonts w:cstheme="minorHAnsi"/>
                <w:color w:val="000000"/>
              </w:rPr>
              <w:t>12.5</w:t>
            </w:r>
          </w:p>
        </w:tc>
        <w:tc>
          <w:tcPr>
            <w:tcW w:w="990" w:type="dxa"/>
            <w:shd w:val="clear" w:color="auto" w:fill="auto"/>
            <w:noWrap/>
            <w:vAlign w:val="bottom"/>
            <w:hideMark/>
          </w:tcPr>
          <w:p w14:paraId="66808B8A" w14:textId="77777777" w:rsidR="00696B34" w:rsidRPr="00A55A51" w:rsidRDefault="00696B34" w:rsidP="009A252C">
            <w:pPr>
              <w:spacing w:after="0"/>
              <w:jc w:val="center"/>
              <w:rPr>
                <w:rFonts w:cstheme="minorHAnsi"/>
                <w:color w:val="000000"/>
              </w:rPr>
            </w:pPr>
            <w:r w:rsidRPr="00A55A51">
              <w:rPr>
                <w:rFonts w:cstheme="minorHAnsi"/>
                <w:color w:val="000000"/>
              </w:rPr>
              <w:t>13.4</w:t>
            </w:r>
          </w:p>
        </w:tc>
        <w:tc>
          <w:tcPr>
            <w:tcW w:w="1080" w:type="dxa"/>
            <w:shd w:val="clear" w:color="auto" w:fill="auto"/>
            <w:noWrap/>
            <w:vAlign w:val="bottom"/>
            <w:hideMark/>
          </w:tcPr>
          <w:p w14:paraId="6C761162" w14:textId="77777777" w:rsidR="00696B34" w:rsidRPr="00A55A51" w:rsidRDefault="00696B34" w:rsidP="009A252C">
            <w:pPr>
              <w:spacing w:after="0"/>
              <w:jc w:val="center"/>
              <w:rPr>
                <w:rFonts w:cstheme="minorHAnsi"/>
                <w:color w:val="000000"/>
              </w:rPr>
            </w:pPr>
            <w:r w:rsidRPr="00A55A51">
              <w:rPr>
                <w:rFonts w:cstheme="minorHAnsi"/>
                <w:color w:val="000000"/>
              </w:rPr>
              <w:t>13.6</w:t>
            </w:r>
          </w:p>
        </w:tc>
        <w:tc>
          <w:tcPr>
            <w:tcW w:w="990" w:type="dxa"/>
            <w:shd w:val="clear" w:color="auto" w:fill="auto"/>
            <w:noWrap/>
            <w:vAlign w:val="bottom"/>
            <w:hideMark/>
          </w:tcPr>
          <w:p w14:paraId="0885DE28" w14:textId="77777777" w:rsidR="00696B34" w:rsidRPr="00A55A51" w:rsidRDefault="00696B34" w:rsidP="009A252C">
            <w:pPr>
              <w:spacing w:after="0"/>
              <w:jc w:val="center"/>
              <w:rPr>
                <w:rFonts w:cstheme="minorHAnsi"/>
                <w:color w:val="000000"/>
              </w:rPr>
            </w:pPr>
            <w:r w:rsidRPr="00A55A51">
              <w:rPr>
                <w:rFonts w:cstheme="minorHAnsi"/>
                <w:color w:val="000000"/>
              </w:rPr>
              <w:t>12.5</w:t>
            </w:r>
          </w:p>
        </w:tc>
        <w:tc>
          <w:tcPr>
            <w:tcW w:w="1080" w:type="dxa"/>
            <w:vAlign w:val="bottom"/>
          </w:tcPr>
          <w:p w14:paraId="12A85A42" w14:textId="77777777" w:rsidR="00696B34" w:rsidRPr="00A55A51" w:rsidRDefault="00696B34" w:rsidP="009A252C">
            <w:pPr>
              <w:spacing w:after="0"/>
              <w:jc w:val="center"/>
              <w:rPr>
                <w:rFonts w:cstheme="minorHAnsi"/>
                <w:color w:val="000000"/>
              </w:rPr>
            </w:pPr>
            <w:r w:rsidRPr="00A55A51">
              <w:rPr>
                <w:rFonts w:cstheme="minorHAnsi"/>
                <w:color w:val="000000"/>
              </w:rPr>
              <w:t>12.8</w:t>
            </w:r>
          </w:p>
        </w:tc>
        <w:tc>
          <w:tcPr>
            <w:tcW w:w="1620" w:type="dxa"/>
            <w:vAlign w:val="bottom"/>
          </w:tcPr>
          <w:p w14:paraId="5F9B5284" w14:textId="77777777" w:rsidR="00696B34" w:rsidRPr="00A55A51" w:rsidRDefault="00696B34" w:rsidP="009A252C">
            <w:pPr>
              <w:spacing w:after="0"/>
              <w:jc w:val="center"/>
              <w:rPr>
                <w:rFonts w:cstheme="minorHAnsi"/>
                <w:color w:val="000000"/>
              </w:rPr>
            </w:pPr>
            <w:r w:rsidRPr="00A55A51">
              <w:rPr>
                <w:rFonts w:cstheme="minorHAnsi"/>
                <w:color w:val="000000"/>
              </w:rPr>
              <w:t>0.4</w:t>
            </w:r>
          </w:p>
        </w:tc>
      </w:tr>
      <w:tr w:rsidR="00696B34" w:rsidRPr="00A55A51" w14:paraId="48A39597" w14:textId="77777777" w:rsidTr="009A252C">
        <w:trPr>
          <w:trHeight w:val="300"/>
        </w:trPr>
        <w:tc>
          <w:tcPr>
            <w:tcW w:w="1885" w:type="dxa"/>
            <w:shd w:val="clear" w:color="auto" w:fill="auto"/>
            <w:noWrap/>
            <w:vAlign w:val="bottom"/>
            <w:hideMark/>
          </w:tcPr>
          <w:p w14:paraId="3CCFE9B9" w14:textId="77777777" w:rsidR="00696B34" w:rsidRPr="00A55A51" w:rsidRDefault="00696B34" w:rsidP="009A252C">
            <w:pPr>
              <w:spacing w:after="0"/>
              <w:rPr>
                <w:rFonts w:cstheme="minorHAnsi"/>
                <w:color w:val="000000"/>
              </w:rPr>
            </w:pPr>
            <w:r w:rsidRPr="00A55A51">
              <w:rPr>
                <w:rFonts w:cstheme="minorHAnsi"/>
                <w:color w:val="000000"/>
              </w:rPr>
              <w:t>Poultry meat</w:t>
            </w:r>
          </w:p>
        </w:tc>
        <w:tc>
          <w:tcPr>
            <w:tcW w:w="990" w:type="dxa"/>
            <w:shd w:val="clear" w:color="auto" w:fill="auto"/>
            <w:noWrap/>
            <w:vAlign w:val="bottom"/>
            <w:hideMark/>
          </w:tcPr>
          <w:p w14:paraId="0F463367" w14:textId="77777777" w:rsidR="00696B34" w:rsidRPr="00A55A51" w:rsidRDefault="00696B34" w:rsidP="009A252C">
            <w:pPr>
              <w:spacing w:after="0"/>
              <w:jc w:val="center"/>
              <w:rPr>
                <w:rFonts w:cstheme="minorHAnsi"/>
                <w:color w:val="000000"/>
              </w:rPr>
            </w:pPr>
            <w:r w:rsidRPr="00A55A51">
              <w:rPr>
                <w:rFonts w:cstheme="minorHAnsi"/>
                <w:color w:val="000000"/>
              </w:rPr>
              <w:t>15.1</w:t>
            </w:r>
          </w:p>
        </w:tc>
        <w:tc>
          <w:tcPr>
            <w:tcW w:w="900" w:type="dxa"/>
            <w:shd w:val="clear" w:color="auto" w:fill="auto"/>
            <w:noWrap/>
            <w:vAlign w:val="bottom"/>
            <w:hideMark/>
          </w:tcPr>
          <w:p w14:paraId="132EBE0D" w14:textId="77777777" w:rsidR="00696B34" w:rsidRPr="00A55A51" w:rsidRDefault="00696B34" w:rsidP="009A252C">
            <w:pPr>
              <w:spacing w:after="0"/>
              <w:jc w:val="center"/>
              <w:rPr>
                <w:rFonts w:cstheme="minorHAnsi"/>
                <w:color w:val="000000"/>
              </w:rPr>
            </w:pPr>
            <w:r w:rsidRPr="00A55A51">
              <w:rPr>
                <w:rFonts w:cstheme="minorHAnsi"/>
                <w:color w:val="000000"/>
              </w:rPr>
              <w:t>17.8</w:t>
            </w:r>
          </w:p>
        </w:tc>
        <w:tc>
          <w:tcPr>
            <w:tcW w:w="990" w:type="dxa"/>
            <w:shd w:val="clear" w:color="auto" w:fill="auto"/>
            <w:noWrap/>
            <w:vAlign w:val="bottom"/>
            <w:hideMark/>
          </w:tcPr>
          <w:p w14:paraId="033DC514" w14:textId="77777777" w:rsidR="00696B34" w:rsidRPr="00A55A51" w:rsidRDefault="00696B34" w:rsidP="009A252C">
            <w:pPr>
              <w:spacing w:after="0"/>
              <w:jc w:val="center"/>
              <w:rPr>
                <w:rFonts w:cstheme="minorHAnsi"/>
                <w:color w:val="000000"/>
              </w:rPr>
            </w:pPr>
            <w:r w:rsidRPr="00A55A51">
              <w:rPr>
                <w:rFonts w:cstheme="minorHAnsi"/>
                <w:color w:val="000000"/>
              </w:rPr>
              <w:t>15.9</w:t>
            </w:r>
          </w:p>
        </w:tc>
        <w:tc>
          <w:tcPr>
            <w:tcW w:w="1080" w:type="dxa"/>
            <w:shd w:val="clear" w:color="auto" w:fill="auto"/>
            <w:noWrap/>
            <w:vAlign w:val="bottom"/>
            <w:hideMark/>
          </w:tcPr>
          <w:p w14:paraId="73BE4743" w14:textId="77777777" w:rsidR="00696B34" w:rsidRPr="00A55A51" w:rsidRDefault="00696B34" w:rsidP="009A252C">
            <w:pPr>
              <w:spacing w:after="0"/>
              <w:jc w:val="center"/>
              <w:rPr>
                <w:rFonts w:cstheme="minorHAnsi"/>
                <w:color w:val="000000"/>
              </w:rPr>
            </w:pPr>
            <w:r w:rsidRPr="00A55A51">
              <w:rPr>
                <w:rFonts w:cstheme="minorHAnsi"/>
                <w:color w:val="000000"/>
              </w:rPr>
              <w:t>9.3</w:t>
            </w:r>
          </w:p>
        </w:tc>
        <w:tc>
          <w:tcPr>
            <w:tcW w:w="990" w:type="dxa"/>
            <w:shd w:val="clear" w:color="auto" w:fill="auto"/>
            <w:noWrap/>
            <w:vAlign w:val="bottom"/>
            <w:hideMark/>
          </w:tcPr>
          <w:p w14:paraId="65C0BB9E" w14:textId="77777777" w:rsidR="00696B34" w:rsidRPr="00A55A51" w:rsidRDefault="00696B34" w:rsidP="009A252C">
            <w:pPr>
              <w:spacing w:after="0"/>
              <w:jc w:val="center"/>
              <w:rPr>
                <w:rFonts w:cstheme="minorHAnsi"/>
                <w:color w:val="000000"/>
              </w:rPr>
            </w:pPr>
            <w:r w:rsidRPr="00A55A51">
              <w:rPr>
                <w:rFonts w:cstheme="minorHAnsi"/>
                <w:color w:val="000000"/>
              </w:rPr>
              <w:t>12.7</w:t>
            </w:r>
          </w:p>
        </w:tc>
        <w:tc>
          <w:tcPr>
            <w:tcW w:w="1080" w:type="dxa"/>
            <w:vAlign w:val="bottom"/>
          </w:tcPr>
          <w:p w14:paraId="2DEA8AEB" w14:textId="77777777" w:rsidR="00696B34" w:rsidRPr="00A55A51" w:rsidRDefault="00696B34" w:rsidP="009A252C">
            <w:pPr>
              <w:spacing w:after="0"/>
              <w:jc w:val="center"/>
              <w:rPr>
                <w:rFonts w:cstheme="minorHAnsi"/>
                <w:color w:val="000000"/>
              </w:rPr>
            </w:pPr>
            <w:r w:rsidRPr="00A55A51">
              <w:rPr>
                <w:rFonts w:cstheme="minorHAnsi"/>
                <w:color w:val="000000"/>
              </w:rPr>
              <w:t>14.2</w:t>
            </w:r>
          </w:p>
        </w:tc>
        <w:tc>
          <w:tcPr>
            <w:tcW w:w="1620" w:type="dxa"/>
            <w:vAlign w:val="bottom"/>
          </w:tcPr>
          <w:p w14:paraId="19E03024" w14:textId="77777777" w:rsidR="00696B34" w:rsidRPr="00A55A51" w:rsidRDefault="00696B34" w:rsidP="009A252C">
            <w:pPr>
              <w:spacing w:after="0"/>
              <w:jc w:val="center"/>
              <w:rPr>
                <w:rFonts w:cstheme="minorHAnsi"/>
                <w:color w:val="000000"/>
              </w:rPr>
            </w:pPr>
            <w:r w:rsidRPr="00A55A51">
              <w:rPr>
                <w:rFonts w:cstheme="minorHAnsi"/>
                <w:color w:val="000000"/>
              </w:rPr>
              <w:t>10.7</w:t>
            </w:r>
          </w:p>
        </w:tc>
      </w:tr>
      <w:tr w:rsidR="00696B34" w:rsidRPr="00A55A51" w14:paraId="0BAC241B" w14:textId="77777777" w:rsidTr="009A252C">
        <w:trPr>
          <w:trHeight w:val="300"/>
        </w:trPr>
        <w:tc>
          <w:tcPr>
            <w:tcW w:w="1885" w:type="dxa"/>
            <w:shd w:val="clear" w:color="auto" w:fill="auto"/>
            <w:noWrap/>
            <w:vAlign w:val="bottom"/>
            <w:hideMark/>
          </w:tcPr>
          <w:p w14:paraId="46AEAAC1" w14:textId="77777777" w:rsidR="00696B34" w:rsidRPr="00A55A51" w:rsidRDefault="00696B34" w:rsidP="009A252C">
            <w:pPr>
              <w:spacing w:after="0"/>
              <w:rPr>
                <w:rFonts w:cstheme="minorHAnsi"/>
                <w:color w:val="000000"/>
              </w:rPr>
            </w:pPr>
            <w:r w:rsidRPr="00A55A51">
              <w:rPr>
                <w:rFonts w:cstheme="minorHAnsi"/>
                <w:color w:val="000000"/>
              </w:rPr>
              <w:t>Rice</w:t>
            </w:r>
          </w:p>
        </w:tc>
        <w:tc>
          <w:tcPr>
            <w:tcW w:w="990" w:type="dxa"/>
            <w:shd w:val="clear" w:color="auto" w:fill="auto"/>
            <w:noWrap/>
            <w:vAlign w:val="bottom"/>
            <w:hideMark/>
          </w:tcPr>
          <w:p w14:paraId="35D99358" w14:textId="77777777" w:rsidR="00696B34" w:rsidRPr="00A55A51" w:rsidRDefault="00696B34" w:rsidP="009A252C">
            <w:pPr>
              <w:spacing w:after="0"/>
              <w:jc w:val="center"/>
              <w:rPr>
                <w:rFonts w:cstheme="minorHAnsi"/>
                <w:color w:val="000000"/>
              </w:rPr>
            </w:pPr>
            <w:r w:rsidRPr="00A55A51">
              <w:rPr>
                <w:rFonts w:cstheme="minorHAnsi"/>
                <w:color w:val="000000"/>
              </w:rPr>
              <w:t>15.3</w:t>
            </w:r>
          </w:p>
        </w:tc>
        <w:tc>
          <w:tcPr>
            <w:tcW w:w="900" w:type="dxa"/>
            <w:shd w:val="clear" w:color="auto" w:fill="auto"/>
            <w:noWrap/>
            <w:vAlign w:val="bottom"/>
            <w:hideMark/>
          </w:tcPr>
          <w:p w14:paraId="76F659A7" w14:textId="77777777" w:rsidR="00696B34" w:rsidRPr="00A55A51" w:rsidRDefault="00696B34" w:rsidP="009A252C">
            <w:pPr>
              <w:spacing w:after="0"/>
              <w:jc w:val="center"/>
              <w:rPr>
                <w:rFonts w:cstheme="minorHAnsi"/>
                <w:color w:val="000000"/>
              </w:rPr>
            </w:pPr>
            <w:r w:rsidRPr="00A55A51">
              <w:rPr>
                <w:rFonts w:cstheme="minorHAnsi"/>
                <w:color w:val="000000"/>
              </w:rPr>
              <w:t>9.8</w:t>
            </w:r>
          </w:p>
        </w:tc>
        <w:tc>
          <w:tcPr>
            <w:tcW w:w="990" w:type="dxa"/>
            <w:shd w:val="clear" w:color="auto" w:fill="auto"/>
            <w:noWrap/>
            <w:vAlign w:val="bottom"/>
            <w:hideMark/>
          </w:tcPr>
          <w:p w14:paraId="63DA4ED5" w14:textId="77777777" w:rsidR="00696B34" w:rsidRPr="00A55A51" w:rsidRDefault="00696B34" w:rsidP="009A252C">
            <w:pPr>
              <w:spacing w:after="0"/>
              <w:jc w:val="center"/>
              <w:rPr>
                <w:rFonts w:cstheme="minorHAnsi"/>
                <w:color w:val="000000"/>
              </w:rPr>
            </w:pPr>
            <w:r w:rsidRPr="00A55A51">
              <w:rPr>
                <w:rFonts w:cstheme="minorHAnsi"/>
                <w:color w:val="000000"/>
              </w:rPr>
              <w:t>23.2</w:t>
            </w:r>
          </w:p>
        </w:tc>
        <w:tc>
          <w:tcPr>
            <w:tcW w:w="1080" w:type="dxa"/>
            <w:shd w:val="clear" w:color="auto" w:fill="auto"/>
            <w:noWrap/>
            <w:vAlign w:val="bottom"/>
            <w:hideMark/>
          </w:tcPr>
          <w:p w14:paraId="490F2243" w14:textId="77777777" w:rsidR="00696B34" w:rsidRPr="00A55A51" w:rsidRDefault="00696B34" w:rsidP="009A252C">
            <w:pPr>
              <w:spacing w:after="0"/>
              <w:jc w:val="center"/>
              <w:rPr>
                <w:rFonts w:cstheme="minorHAnsi"/>
                <w:color w:val="000000"/>
              </w:rPr>
            </w:pPr>
            <w:r w:rsidRPr="00A55A51">
              <w:rPr>
                <w:rFonts w:cstheme="minorHAnsi"/>
                <w:color w:val="000000"/>
              </w:rPr>
              <w:t>19.3</w:t>
            </w:r>
          </w:p>
        </w:tc>
        <w:tc>
          <w:tcPr>
            <w:tcW w:w="990" w:type="dxa"/>
            <w:shd w:val="clear" w:color="auto" w:fill="auto"/>
            <w:noWrap/>
            <w:vAlign w:val="bottom"/>
            <w:hideMark/>
          </w:tcPr>
          <w:p w14:paraId="64A238DB" w14:textId="77777777" w:rsidR="00696B34" w:rsidRPr="00A55A51" w:rsidRDefault="00696B34" w:rsidP="009A252C">
            <w:pPr>
              <w:spacing w:after="0"/>
              <w:jc w:val="center"/>
              <w:rPr>
                <w:rFonts w:cstheme="minorHAnsi"/>
                <w:color w:val="000000"/>
              </w:rPr>
            </w:pPr>
            <w:r w:rsidRPr="00A55A51">
              <w:rPr>
                <w:rFonts w:cstheme="minorHAnsi"/>
                <w:color w:val="000000"/>
              </w:rPr>
              <w:t>1.9</w:t>
            </w:r>
          </w:p>
        </w:tc>
        <w:tc>
          <w:tcPr>
            <w:tcW w:w="1080" w:type="dxa"/>
            <w:vAlign w:val="bottom"/>
          </w:tcPr>
          <w:p w14:paraId="3E6C2591" w14:textId="77777777" w:rsidR="00696B34" w:rsidRPr="00A55A51" w:rsidRDefault="00696B34" w:rsidP="009A252C">
            <w:pPr>
              <w:spacing w:after="0"/>
              <w:jc w:val="center"/>
              <w:rPr>
                <w:rFonts w:cstheme="minorHAnsi"/>
                <w:color w:val="000000"/>
              </w:rPr>
            </w:pPr>
            <w:r w:rsidRPr="00A55A51">
              <w:rPr>
                <w:rFonts w:cstheme="minorHAnsi"/>
                <w:color w:val="000000"/>
              </w:rPr>
              <w:t>13.9</w:t>
            </w:r>
          </w:p>
        </w:tc>
        <w:tc>
          <w:tcPr>
            <w:tcW w:w="1620" w:type="dxa"/>
            <w:vAlign w:val="bottom"/>
          </w:tcPr>
          <w:p w14:paraId="55E9F6C1" w14:textId="77777777" w:rsidR="00696B34" w:rsidRPr="00A55A51" w:rsidRDefault="00696B34" w:rsidP="009A252C">
            <w:pPr>
              <w:spacing w:after="0"/>
              <w:jc w:val="center"/>
              <w:rPr>
                <w:rFonts w:cstheme="minorHAnsi"/>
                <w:color w:val="000000"/>
              </w:rPr>
            </w:pPr>
            <w:r w:rsidRPr="00A55A51">
              <w:rPr>
                <w:rFonts w:cstheme="minorHAnsi"/>
                <w:color w:val="000000"/>
              </w:rPr>
              <w:t>69.6</w:t>
            </w:r>
          </w:p>
        </w:tc>
      </w:tr>
      <w:tr w:rsidR="00696B34" w:rsidRPr="00A55A51" w14:paraId="34B85BC5" w14:textId="77777777" w:rsidTr="009A252C">
        <w:trPr>
          <w:trHeight w:val="300"/>
        </w:trPr>
        <w:tc>
          <w:tcPr>
            <w:tcW w:w="1885" w:type="dxa"/>
            <w:shd w:val="clear" w:color="auto" w:fill="auto"/>
            <w:noWrap/>
            <w:vAlign w:val="bottom"/>
            <w:hideMark/>
          </w:tcPr>
          <w:p w14:paraId="65F1D90D" w14:textId="77777777" w:rsidR="00696B34" w:rsidRPr="00A55A51" w:rsidRDefault="00696B34" w:rsidP="009A252C">
            <w:pPr>
              <w:spacing w:after="0"/>
              <w:rPr>
                <w:rFonts w:cstheme="minorHAnsi"/>
                <w:color w:val="000000"/>
              </w:rPr>
            </w:pPr>
            <w:r w:rsidRPr="00A55A51">
              <w:rPr>
                <w:rFonts w:cstheme="minorHAnsi"/>
                <w:color w:val="000000"/>
              </w:rPr>
              <w:t>Soybeans</w:t>
            </w:r>
          </w:p>
        </w:tc>
        <w:tc>
          <w:tcPr>
            <w:tcW w:w="990" w:type="dxa"/>
            <w:shd w:val="clear" w:color="auto" w:fill="auto"/>
            <w:noWrap/>
            <w:vAlign w:val="bottom"/>
            <w:hideMark/>
          </w:tcPr>
          <w:p w14:paraId="0A20BF3D" w14:textId="77777777" w:rsidR="00696B34" w:rsidRPr="00A55A51" w:rsidRDefault="00696B34" w:rsidP="009A252C">
            <w:pPr>
              <w:spacing w:after="0"/>
              <w:jc w:val="center"/>
              <w:rPr>
                <w:rFonts w:cstheme="minorHAnsi"/>
                <w:color w:val="000000"/>
              </w:rPr>
            </w:pPr>
            <w:r w:rsidRPr="00A55A51">
              <w:rPr>
                <w:rFonts w:cstheme="minorHAnsi"/>
                <w:color w:val="000000"/>
              </w:rPr>
              <w:t>-3.6</w:t>
            </w:r>
          </w:p>
        </w:tc>
        <w:tc>
          <w:tcPr>
            <w:tcW w:w="900" w:type="dxa"/>
            <w:shd w:val="clear" w:color="auto" w:fill="auto"/>
            <w:noWrap/>
            <w:vAlign w:val="bottom"/>
            <w:hideMark/>
          </w:tcPr>
          <w:p w14:paraId="25552FC6" w14:textId="77777777" w:rsidR="00696B34" w:rsidRPr="00A55A51" w:rsidRDefault="00696B34" w:rsidP="009A252C">
            <w:pPr>
              <w:spacing w:after="0"/>
              <w:jc w:val="center"/>
              <w:rPr>
                <w:rFonts w:cstheme="minorHAnsi"/>
                <w:color w:val="000000"/>
              </w:rPr>
            </w:pPr>
            <w:r w:rsidRPr="00A55A51">
              <w:rPr>
                <w:rFonts w:cstheme="minorHAnsi"/>
                <w:color w:val="000000"/>
              </w:rPr>
              <w:t>1.5</w:t>
            </w:r>
          </w:p>
        </w:tc>
        <w:tc>
          <w:tcPr>
            <w:tcW w:w="990" w:type="dxa"/>
            <w:shd w:val="clear" w:color="auto" w:fill="auto"/>
            <w:noWrap/>
            <w:vAlign w:val="bottom"/>
            <w:hideMark/>
          </w:tcPr>
          <w:p w14:paraId="501683A3" w14:textId="77777777" w:rsidR="00696B34" w:rsidRPr="00A55A51" w:rsidRDefault="00696B34" w:rsidP="009A252C">
            <w:pPr>
              <w:spacing w:after="0"/>
              <w:jc w:val="center"/>
              <w:rPr>
                <w:rFonts w:cstheme="minorHAnsi"/>
                <w:color w:val="000000"/>
              </w:rPr>
            </w:pPr>
            <w:r w:rsidRPr="00A55A51">
              <w:rPr>
                <w:rFonts w:cstheme="minorHAnsi"/>
                <w:color w:val="000000"/>
              </w:rPr>
              <w:t>-2.7</w:t>
            </w:r>
          </w:p>
        </w:tc>
        <w:tc>
          <w:tcPr>
            <w:tcW w:w="1080" w:type="dxa"/>
            <w:shd w:val="clear" w:color="auto" w:fill="auto"/>
            <w:noWrap/>
            <w:vAlign w:val="bottom"/>
            <w:hideMark/>
          </w:tcPr>
          <w:p w14:paraId="0AC4F3B6" w14:textId="77777777" w:rsidR="00696B34" w:rsidRPr="00A55A51" w:rsidRDefault="00696B34" w:rsidP="009A252C">
            <w:pPr>
              <w:spacing w:after="0"/>
              <w:jc w:val="center"/>
              <w:rPr>
                <w:rFonts w:cstheme="minorHAnsi"/>
                <w:color w:val="000000"/>
              </w:rPr>
            </w:pPr>
            <w:r w:rsidRPr="00A55A51">
              <w:rPr>
                <w:rFonts w:cstheme="minorHAnsi"/>
                <w:color w:val="000000"/>
              </w:rPr>
              <w:t>-2.4</w:t>
            </w:r>
          </w:p>
        </w:tc>
        <w:tc>
          <w:tcPr>
            <w:tcW w:w="990" w:type="dxa"/>
            <w:shd w:val="clear" w:color="auto" w:fill="auto"/>
            <w:noWrap/>
            <w:vAlign w:val="bottom"/>
            <w:hideMark/>
          </w:tcPr>
          <w:p w14:paraId="40C64B62" w14:textId="77777777" w:rsidR="00696B34" w:rsidRPr="00A55A51" w:rsidRDefault="00696B34" w:rsidP="009A252C">
            <w:pPr>
              <w:spacing w:after="0"/>
              <w:jc w:val="center"/>
              <w:rPr>
                <w:rFonts w:cstheme="minorHAnsi"/>
                <w:color w:val="000000"/>
              </w:rPr>
            </w:pPr>
            <w:r w:rsidRPr="00A55A51">
              <w:rPr>
                <w:rFonts w:cstheme="minorHAnsi"/>
                <w:color w:val="000000"/>
              </w:rPr>
              <w:t>1.8</w:t>
            </w:r>
          </w:p>
        </w:tc>
        <w:tc>
          <w:tcPr>
            <w:tcW w:w="1080" w:type="dxa"/>
            <w:vAlign w:val="bottom"/>
          </w:tcPr>
          <w:p w14:paraId="1246C645" w14:textId="77777777" w:rsidR="00696B34" w:rsidRPr="00A55A51" w:rsidRDefault="00696B34" w:rsidP="009A252C">
            <w:pPr>
              <w:spacing w:after="0"/>
              <w:jc w:val="center"/>
              <w:rPr>
                <w:rFonts w:cstheme="minorHAnsi"/>
                <w:color w:val="000000"/>
              </w:rPr>
            </w:pPr>
            <w:r w:rsidRPr="00A55A51">
              <w:rPr>
                <w:rFonts w:cstheme="minorHAnsi"/>
                <w:color w:val="000000"/>
              </w:rPr>
              <w:t>-1.1</w:t>
            </w:r>
          </w:p>
        </w:tc>
        <w:tc>
          <w:tcPr>
            <w:tcW w:w="1620" w:type="dxa"/>
            <w:vAlign w:val="bottom"/>
          </w:tcPr>
          <w:p w14:paraId="40310C79" w14:textId="77777777" w:rsidR="00696B34" w:rsidRPr="00A55A51" w:rsidRDefault="00696B34" w:rsidP="009A252C">
            <w:pPr>
              <w:spacing w:after="0"/>
              <w:jc w:val="center"/>
              <w:rPr>
                <w:rFonts w:cstheme="minorHAnsi"/>
                <w:color w:val="000000"/>
              </w:rPr>
            </w:pPr>
            <w:r w:rsidRPr="00A55A51">
              <w:rPr>
                <w:rFonts w:cstheme="minorHAnsi"/>
                <w:color w:val="000000"/>
              </w:rPr>
              <w:t>6.4</w:t>
            </w:r>
          </w:p>
        </w:tc>
      </w:tr>
      <w:tr w:rsidR="00696B34" w:rsidRPr="00A55A51" w14:paraId="5AFA20C7" w14:textId="77777777" w:rsidTr="009A252C">
        <w:trPr>
          <w:trHeight w:val="300"/>
        </w:trPr>
        <w:tc>
          <w:tcPr>
            <w:tcW w:w="1885" w:type="dxa"/>
            <w:shd w:val="clear" w:color="auto" w:fill="auto"/>
            <w:noWrap/>
            <w:vAlign w:val="bottom"/>
            <w:hideMark/>
          </w:tcPr>
          <w:p w14:paraId="1FA557EE" w14:textId="77777777" w:rsidR="00696B34" w:rsidRPr="00A55A51" w:rsidRDefault="00696B34" w:rsidP="009A252C">
            <w:pPr>
              <w:spacing w:after="0"/>
              <w:rPr>
                <w:rFonts w:cstheme="minorHAnsi"/>
                <w:color w:val="000000"/>
              </w:rPr>
            </w:pPr>
            <w:r w:rsidRPr="00A55A51">
              <w:rPr>
                <w:rFonts w:cstheme="minorHAnsi"/>
                <w:color w:val="000000"/>
              </w:rPr>
              <w:t>Tea</w:t>
            </w:r>
          </w:p>
        </w:tc>
        <w:tc>
          <w:tcPr>
            <w:tcW w:w="990" w:type="dxa"/>
            <w:shd w:val="clear" w:color="auto" w:fill="auto"/>
            <w:noWrap/>
            <w:vAlign w:val="bottom"/>
            <w:hideMark/>
          </w:tcPr>
          <w:p w14:paraId="252B0441" w14:textId="77777777" w:rsidR="00696B34" w:rsidRPr="00A55A51" w:rsidRDefault="00696B34" w:rsidP="009A252C">
            <w:pPr>
              <w:spacing w:after="0"/>
              <w:jc w:val="center"/>
              <w:rPr>
                <w:rFonts w:cstheme="minorHAnsi"/>
                <w:color w:val="000000"/>
              </w:rPr>
            </w:pPr>
            <w:r w:rsidRPr="00A55A51">
              <w:rPr>
                <w:rFonts w:cstheme="minorHAnsi"/>
                <w:color w:val="000000"/>
              </w:rPr>
              <w:t>-46.2</w:t>
            </w:r>
          </w:p>
        </w:tc>
        <w:tc>
          <w:tcPr>
            <w:tcW w:w="900" w:type="dxa"/>
            <w:shd w:val="clear" w:color="auto" w:fill="auto"/>
            <w:noWrap/>
            <w:vAlign w:val="bottom"/>
            <w:hideMark/>
          </w:tcPr>
          <w:p w14:paraId="7E4EED54" w14:textId="77777777" w:rsidR="00696B34" w:rsidRPr="00A55A51" w:rsidRDefault="00696B34" w:rsidP="009A252C">
            <w:pPr>
              <w:spacing w:after="0"/>
              <w:jc w:val="center"/>
              <w:rPr>
                <w:rFonts w:cstheme="minorHAnsi"/>
                <w:color w:val="000000"/>
              </w:rPr>
            </w:pPr>
            <w:r w:rsidRPr="00A55A51">
              <w:rPr>
                <w:rFonts w:cstheme="minorHAnsi"/>
                <w:color w:val="000000"/>
              </w:rPr>
              <w:t>-37.0</w:t>
            </w:r>
          </w:p>
        </w:tc>
        <w:tc>
          <w:tcPr>
            <w:tcW w:w="990" w:type="dxa"/>
            <w:shd w:val="clear" w:color="auto" w:fill="auto"/>
            <w:noWrap/>
            <w:vAlign w:val="bottom"/>
            <w:hideMark/>
          </w:tcPr>
          <w:p w14:paraId="34F3A6CD" w14:textId="77777777" w:rsidR="00696B34" w:rsidRPr="00A55A51" w:rsidRDefault="00696B34" w:rsidP="009A252C">
            <w:pPr>
              <w:spacing w:after="0"/>
              <w:jc w:val="center"/>
              <w:rPr>
                <w:rFonts w:cstheme="minorHAnsi"/>
                <w:color w:val="000000"/>
              </w:rPr>
            </w:pPr>
            <w:r w:rsidRPr="00A55A51">
              <w:rPr>
                <w:rFonts w:cstheme="minorHAnsi"/>
                <w:color w:val="000000"/>
              </w:rPr>
              <w:t>-37.7</w:t>
            </w:r>
          </w:p>
        </w:tc>
        <w:tc>
          <w:tcPr>
            <w:tcW w:w="1080" w:type="dxa"/>
            <w:shd w:val="clear" w:color="auto" w:fill="auto"/>
            <w:noWrap/>
            <w:vAlign w:val="bottom"/>
            <w:hideMark/>
          </w:tcPr>
          <w:p w14:paraId="0252E6E9" w14:textId="77777777" w:rsidR="00696B34" w:rsidRPr="00A55A51" w:rsidRDefault="00696B34" w:rsidP="009A252C">
            <w:pPr>
              <w:spacing w:after="0"/>
              <w:jc w:val="center"/>
              <w:rPr>
                <w:rFonts w:cstheme="minorHAnsi"/>
                <w:color w:val="000000"/>
              </w:rPr>
            </w:pPr>
            <w:r w:rsidRPr="00A55A51">
              <w:rPr>
                <w:rFonts w:cstheme="minorHAnsi"/>
                <w:color w:val="000000"/>
              </w:rPr>
              <w:t>-36.7</w:t>
            </w:r>
          </w:p>
        </w:tc>
        <w:tc>
          <w:tcPr>
            <w:tcW w:w="990" w:type="dxa"/>
            <w:shd w:val="clear" w:color="auto" w:fill="auto"/>
            <w:noWrap/>
            <w:vAlign w:val="bottom"/>
            <w:hideMark/>
          </w:tcPr>
          <w:p w14:paraId="4171235B" w14:textId="77777777" w:rsidR="00696B34" w:rsidRPr="00A55A51" w:rsidRDefault="00696B34" w:rsidP="009A252C">
            <w:pPr>
              <w:spacing w:after="0"/>
              <w:jc w:val="center"/>
              <w:rPr>
                <w:rFonts w:cstheme="minorHAnsi"/>
                <w:color w:val="000000"/>
              </w:rPr>
            </w:pPr>
            <w:r w:rsidRPr="00A55A51">
              <w:rPr>
                <w:rFonts w:cstheme="minorHAnsi"/>
                <w:color w:val="000000"/>
              </w:rPr>
              <w:t>-40.2</w:t>
            </w:r>
          </w:p>
        </w:tc>
        <w:tc>
          <w:tcPr>
            <w:tcW w:w="1080" w:type="dxa"/>
            <w:vAlign w:val="bottom"/>
          </w:tcPr>
          <w:p w14:paraId="2C662212" w14:textId="77777777" w:rsidR="00696B34" w:rsidRPr="00A55A51" w:rsidRDefault="00696B34" w:rsidP="009A252C">
            <w:pPr>
              <w:spacing w:after="0"/>
              <w:jc w:val="center"/>
              <w:rPr>
                <w:rFonts w:cstheme="minorHAnsi"/>
                <w:color w:val="000000"/>
              </w:rPr>
            </w:pPr>
            <w:r w:rsidRPr="00A55A51">
              <w:rPr>
                <w:rFonts w:cstheme="minorHAnsi"/>
                <w:color w:val="000000"/>
              </w:rPr>
              <w:t>-39.6</w:t>
            </w:r>
          </w:p>
        </w:tc>
        <w:tc>
          <w:tcPr>
            <w:tcW w:w="1620" w:type="dxa"/>
            <w:vAlign w:val="bottom"/>
          </w:tcPr>
          <w:p w14:paraId="6535C602" w14:textId="77777777" w:rsidR="00696B34" w:rsidRPr="00A55A51" w:rsidRDefault="00696B34" w:rsidP="009A252C">
            <w:pPr>
              <w:spacing w:after="0"/>
              <w:jc w:val="center"/>
              <w:rPr>
                <w:rFonts w:cstheme="minorHAnsi"/>
                <w:color w:val="000000"/>
              </w:rPr>
            </w:pPr>
            <w:r w:rsidRPr="00A55A51">
              <w:rPr>
                <w:rFonts w:cstheme="minorHAnsi"/>
                <w:color w:val="000000"/>
              </w:rPr>
              <w:t>15.7</w:t>
            </w:r>
          </w:p>
        </w:tc>
      </w:tr>
      <w:tr w:rsidR="00696B34" w:rsidRPr="00A55A51" w14:paraId="035EA8F9" w14:textId="77777777" w:rsidTr="009A252C">
        <w:trPr>
          <w:trHeight w:val="300"/>
        </w:trPr>
        <w:tc>
          <w:tcPr>
            <w:tcW w:w="1885" w:type="dxa"/>
            <w:shd w:val="clear" w:color="auto" w:fill="auto"/>
            <w:noWrap/>
            <w:vAlign w:val="bottom"/>
            <w:hideMark/>
          </w:tcPr>
          <w:p w14:paraId="48C85B44" w14:textId="77777777" w:rsidR="00696B34" w:rsidRPr="00A55A51" w:rsidRDefault="00696B34" w:rsidP="009A252C">
            <w:pPr>
              <w:spacing w:after="0"/>
              <w:rPr>
                <w:rFonts w:cstheme="minorHAnsi"/>
                <w:color w:val="000000"/>
              </w:rPr>
            </w:pPr>
            <w:r w:rsidRPr="00A55A51">
              <w:rPr>
                <w:rFonts w:cstheme="minorHAnsi"/>
                <w:color w:val="000000"/>
              </w:rPr>
              <w:t>Wheat</w:t>
            </w:r>
          </w:p>
        </w:tc>
        <w:tc>
          <w:tcPr>
            <w:tcW w:w="990" w:type="dxa"/>
            <w:shd w:val="clear" w:color="auto" w:fill="auto"/>
            <w:noWrap/>
            <w:vAlign w:val="bottom"/>
            <w:hideMark/>
          </w:tcPr>
          <w:p w14:paraId="49622BE6" w14:textId="77777777" w:rsidR="00696B34" w:rsidRPr="00A55A51" w:rsidRDefault="00696B34" w:rsidP="009A252C">
            <w:pPr>
              <w:spacing w:after="0"/>
              <w:jc w:val="center"/>
              <w:rPr>
                <w:rFonts w:cstheme="minorHAnsi"/>
                <w:color w:val="000000"/>
              </w:rPr>
            </w:pPr>
            <w:r w:rsidRPr="00A55A51">
              <w:rPr>
                <w:rFonts w:cstheme="minorHAnsi"/>
                <w:color w:val="000000"/>
              </w:rPr>
              <w:t>7.0</w:t>
            </w:r>
          </w:p>
        </w:tc>
        <w:tc>
          <w:tcPr>
            <w:tcW w:w="900" w:type="dxa"/>
            <w:shd w:val="clear" w:color="auto" w:fill="auto"/>
            <w:noWrap/>
            <w:vAlign w:val="bottom"/>
            <w:hideMark/>
          </w:tcPr>
          <w:p w14:paraId="563AFB7B" w14:textId="77777777" w:rsidR="00696B34" w:rsidRPr="00A55A51" w:rsidRDefault="00696B34" w:rsidP="009A252C">
            <w:pPr>
              <w:spacing w:after="0"/>
              <w:jc w:val="center"/>
              <w:rPr>
                <w:rFonts w:cstheme="minorHAnsi"/>
                <w:color w:val="000000"/>
              </w:rPr>
            </w:pPr>
            <w:r w:rsidRPr="00A55A51">
              <w:rPr>
                <w:rFonts w:cstheme="minorHAnsi"/>
                <w:color w:val="000000"/>
              </w:rPr>
              <w:t>5.7</w:t>
            </w:r>
          </w:p>
        </w:tc>
        <w:tc>
          <w:tcPr>
            <w:tcW w:w="990" w:type="dxa"/>
            <w:shd w:val="clear" w:color="auto" w:fill="auto"/>
            <w:noWrap/>
            <w:vAlign w:val="bottom"/>
            <w:hideMark/>
          </w:tcPr>
          <w:p w14:paraId="2FCE9139" w14:textId="77777777" w:rsidR="00696B34" w:rsidRPr="00A55A51" w:rsidRDefault="00696B34" w:rsidP="009A252C">
            <w:pPr>
              <w:spacing w:after="0"/>
              <w:jc w:val="center"/>
              <w:rPr>
                <w:rFonts w:cstheme="minorHAnsi"/>
                <w:color w:val="000000"/>
              </w:rPr>
            </w:pPr>
            <w:r w:rsidRPr="00A55A51">
              <w:rPr>
                <w:rFonts w:cstheme="minorHAnsi"/>
                <w:color w:val="000000"/>
              </w:rPr>
              <w:t>-2.0</w:t>
            </w:r>
          </w:p>
        </w:tc>
        <w:tc>
          <w:tcPr>
            <w:tcW w:w="1080" w:type="dxa"/>
            <w:shd w:val="clear" w:color="auto" w:fill="auto"/>
            <w:noWrap/>
            <w:vAlign w:val="bottom"/>
            <w:hideMark/>
          </w:tcPr>
          <w:p w14:paraId="22A614FF" w14:textId="77777777" w:rsidR="00696B34" w:rsidRPr="00A55A51" w:rsidRDefault="00696B34" w:rsidP="009A252C">
            <w:pPr>
              <w:spacing w:after="0"/>
              <w:jc w:val="center"/>
              <w:rPr>
                <w:rFonts w:cstheme="minorHAnsi"/>
                <w:color w:val="000000"/>
              </w:rPr>
            </w:pPr>
            <w:r w:rsidRPr="00A55A51">
              <w:rPr>
                <w:rFonts w:cstheme="minorHAnsi"/>
                <w:color w:val="000000"/>
              </w:rPr>
              <w:t>-8.7</w:t>
            </w:r>
          </w:p>
        </w:tc>
        <w:tc>
          <w:tcPr>
            <w:tcW w:w="990" w:type="dxa"/>
            <w:shd w:val="clear" w:color="auto" w:fill="auto"/>
            <w:noWrap/>
            <w:vAlign w:val="bottom"/>
            <w:hideMark/>
          </w:tcPr>
          <w:p w14:paraId="58803395" w14:textId="77777777" w:rsidR="00696B34" w:rsidRPr="00A55A51" w:rsidRDefault="00696B34" w:rsidP="009A252C">
            <w:pPr>
              <w:spacing w:after="0"/>
              <w:jc w:val="center"/>
              <w:rPr>
                <w:rFonts w:cstheme="minorHAnsi"/>
                <w:color w:val="000000"/>
              </w:rPr>
            </w:pPr>
            <w:r w:rsidRPr="00A55A51">
              <w:rPr>
                <w:rFonts w:cstheme="minorHAnsi"/>
                <w:color w:val="000000"/>
              </w:rPr>
              <w:t>-0.4</w:t>
            </w:r>
          </w:p>
        </w:tc>
        <w:tc>
          <w:tcPr>
            <w:tcW w:w="1080" w:type="dxa"/>
            <w:vAlign w:val="bottom"/>
          </w:tcPr>
          <w:p w14:paraId="4947B6C4" w14:textId="77777777" w:rsidR="00696B34" w:rsidRPr="00A55A51" w:rsidRDefault="00696B34" w:rsidP="009A252C">
            <w:pPr>
              <w:spacing w:after="0"/>
              <w:jc w:val="center"/>
              <w:rPr>
                <w:rFonts w:cstheme="minorHAnsi"/>
                <w:color w:val="000000"/>
              </w:rPr>
            </w:pPr>
            <w:r w:rsidRPr="00A55A51">
              <w:rPr>
                <w:rFonts w:cstheme="minorHAnsi"/>
                <w:color w:val="000000"/>
              </w:rPr>
              <w:t>0.3</w:t>
            </w:r>
          </w:p>
        </w:tc>
        <w:tc>
          <w:tcPr>
            <w:tcW w:w="1620" w:type="dxa"/>
            <w:vAlign w:val="bottom"/>
          </w:tcPr>
          <w:p w14:paraId="5F3B5CA9" w14:textId="77777777" w:rsidR="00696B34" w:rsidRPr="00A55A51" w:rsidRDefault="00696B34" w:rsidP="009A252C">
            <w:pPr>
              <w:spacing w:after="0"/>
              <w:jc w:val="center"/>
              <w:rPr>
                <w:rFonts w:cstheme="minorHAnsi"/>
                <w:color w:val="000000"/>
              </w:rPr>
            </w:pPr>
            <w:r w:rsidRPr="00A55A51">
              <w:rPr>
                <w:rFonts w:cstheme="minorHAnsi"/>
                <w:color w:val="000000"/>
              </w:rPr>
              <w:t>40.2</w:t>
            </w:r>
          </w:p>
        </w:tc>
      </w:tr>
    </w:tbl>
    <w:p w14:paraId="6185094F" w14:textId="39EFCC7F" w:rsidR="00696B34" w:rsidRPr="00A55A51" w:rsidRDefault="00696B34" w:rsidP="00696B34">
      <w:pPr>
        <w:spacing w:after="120" w:line="360" w:lineRule="auto"/>
        <w:rPr>
          <w:rFonts w:cstheme="minorHAnsi"/>
        </w:rPr>
      </w:pPr>
      <w:r w:rsidRPr="00A55A51">
        <w:rPr>
          <w:rFonts w:cstheme="minorHAnsi"/>
          <w:bCs/>
        </w:rPr>
        <w:t xml:space="preserve">Source: AgIncentives database, sample of 31 </w:t>
      </w:r>
      <w:r w:rsidR="003E49AC" w:rsidRPr="00A55A51">
        <w:rPr>
          <w:rFonts w:cstheme="minorHAnsi"/>
          <w:bCs/>
        </w:rPr>
        <w:t>continuously represented</w:t>
      </w:r>
      <w:r w:rsidRPr="00A55A51">
        <w:rPr>
          <w:rFonts w:cstheme="minorHAnsi"/>
          <w:bCs/>
        </w:rPr>
        <w:t xml:space="preserve"> economies.</w:t>
      </w:r>
    </w:p>
    <w:p w14:paraId="46677C81" w14:textId="77777777" w:rsidR="00EA1ACF" w:rsidRPr="00A55A51" w:rsidRDefault="00EA1ACF" w:rsidP="00696B34">
      <w:pPr>
        <w:spacing w:after="120" w:line="360" w:lineRule="auto"/>
        <w:ind w:firstLine="720"/>
        <w:rPr>
          <w:rFonts w:cstheme="minorHAnsi"/>
        </w:rPr>
      </w:pPr>
    </w:p>
    <w:p w14:paraId="47C30606" w14:textId="71F1055C" w:rsidR="00696B34" w:rsidRPr="00A55A51" w:rsidRDefault="00696B34" w:rsidP="00696B34">
      <w:pPr>
        <w:spacing w:after="120" w:line="360" w:lineRule="auto"/>
        <w:ind w:firstLine="720"/>
        <w:rPr>
          <w:rFonts w:cstheme="minorHAnsi"/>
        </w:rPr>
      </w:pPr>
      <w:r w:rsidRPr="00A55A51">
        <w:rPr>
          <w:rFonts w:cstheme="minorHAnsi"/>
        </w:rPr>
        <w:t xml:space="preserve">Summary measures for the key components of the NRA presented in Figure 5 show that the largest single component of the total NRA is generally the market price support represented by the upper, patterned section of the graph. However, as we have seen, this component is very volatile, varying with the level of agricultural commodity prices—a variation that greatly increases the volatility of global </w:t>
      </w:r>
      <w:r w:rsidRPr="00A55A51">
        <w:rPr>
          <w:rFonts w:cstheme="minorHAnsi"/>
        </w:rPr>
        <w:lastRenderedPageBreak/>
        <w:t xml:space="preserve">agricultural prices (Martin and Minot 2022; Martin, Mamun and Minot 2024). By contrast, the other elements of the overall NRA—payments to output and payments based on other triggers such as historical planting levels—are far less volatile as a share of the value of agricultural output. </w:t>
      </w:r>
    </w:p>
    <w:p w14:paraId="6D25AC52" w14:textId="77777777" w:rsidR="00EA1ACF" w:rsidRPr="00A55A51" w:rsidRDefault="00EA1ACF" w:rsidP="00696B34">
      <w:pPr>
        <w:spacing w:after="120" w:line="360" w:lineRule="auto"/>
        <w:ind w:firstLine="720"/>
        <w:rPr>
          <w:rFonts w:cstheme="minorHAnsi"/>
        </w:rPr>
      </w:pPr>
    </w:p>
    <w:p w14:paraId="1FCAE45B" w14:textId="77777777" w:rsidR="00696B34" w:rsidRPr="00A55A51" w:rsidRDefault="00696B34" w:rsidP="00696B34">
      <w:pPr>
        <w:spacing w:after="120"/>
        <w:rPr>
          <w:rFonts w:cstheme="minorHAnsi"/>
        </w:rPr>
      </w:pPr>
      <w:r w:rsidRPr="00A55A51">
        <w:rPr>
          <w:rFonts w:cstheme="minorHAnsi"/>
          <w:noProof/>
        </w:rPr>
        <w:drawing>
          <wp:inline distT="0" distB="0" distL="0" distR="0" wp14:anchorId="71D81BA1" wp14:editId="0AA8E162">
            <wp:extent cx="5979160" cy="3848431"/>
            <wp:effectExtent l="0" t="0" r="2540" b="0"/>
            <wp:docPr id="673155680" name="Chart 1">
              <a:extLst xmlns:a="http://schemas.openxmlformats.org/drawingml/2006/main">
                <a:ext uri="{FF2B5EF4-FFF2-40B4-BE49-F238E27FC236}">
                  <a16:creationId xmlns:a16="http://schemas.microsoft.com/office/drawing/2014/main" id="{0B93B703-0543-BCDE-99DA-26CF052D8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5A7382C" w14:textId="52C87896" w:rsidR="00696B34" w:rsidRPr="00A55A51" w:rsidRDefault="00F23FF1" w:rsidP="00F23FF1">
      <w:pPr>
        <w:pStyle w:val="Caption"/>
        <w:rPr>
          <w:rFonts w:asciiTheme="minorHAnsi" w:hAnsiTheme="minorHAnsi" w:cstheme="minorHAnsi"/>
          <w:b w:val="0"/>
        </w:rPr>
      </w:pPr>
      <w:bookmarkStart w:id="19" w:name="_Toc195126829"/>
      <w:r>
        <w:t xml:space="preserve">Figure </w:t>
      </w:r>
      <w:fldSimple w:instr=" SEQ Figure \* ARABIC ">
        <w:r>
          <w:rPr>
            <w:noProof/>
          </w:rPr>
          <w:t>5</w:t>
        </w:r>
      </w:fldSimple>
      <w:r>
        <w:t>:</w:t>
      </w:r>
      <w:r w:rsidR="00696B34" w:rsidRPr="00A55A51">
        <w:rPr>
          <w:rFonts w:asciiTheme="minorHAnsi" w:hAnsiTheme="minorHAnsi" w:cstheme="minorHAnsi"/>
        </w:rPr>
        <w:t xml:space="preserve"> </w:t>
      </w:r>
      <w:r w:rsidR="00696B34" w:rsidRPr="00F23FF1">
        <w:rPr>
          <w:rFonts w:asciiTheme="minorHAnsi" w:hAnsiTheme="minorHAnsi" w:cstheme="minorHAnsi"/>
          <w:b w:val="0"/>
          <w:bCs/>
        </w:rPr>
        <w:t>Components of Total NRA as a share of Agricultural Output Value %</w:t>
      </w:r>
      <w:bookmarkEnd w:id="19"/>
    </w:p>
    <w:p w14:paraId="3B22C3E8" w14:textId="77777777" w:rsidR="00696B34" w:rsidRPr="00A55A51" w:rsidRDefault="00696B34" w:rsidP="00696B34">
      <w:pPr>
        <w:rPr>
          <w:rFonts w:cstheme="minorHAnsi"/>
          <w:bCs/>
        </w:rPr>
      </w:pPr>
      <w:r w:rsidRPr="00A55A51">
        <w:rPr>
          <w:rFonts w:cstheme="minorHAnsi"/>
          <w:bCs/>
        </w:rPr>
        <w:t>Source: AgIncentives database</w:t>
      </w:r>
    </w:p>
    <w:p w14:paraId="5119AC9D" w14:textId="77777777" w:rsidR="00EA1ACF" w:rsidRPr="00A55A51" w:rsidRDefault="00EA1ACF" w:rsidP="00696B34">
      <w:pPr>
        <w:spacing w:after="120" w:line="360" w:lineRule="auto"/>
        <w:ind w:firstLine="720"/>
        <w:rPr>
          <w:rFonts w:cstheme="minorHAnsi"/>
        </w:rPr>
      </w:pPr>
    </w:p>
    <w:p w14:paraId="63E444B3" w14:textId="611AB101" w:rsidR="00696B34" w:rsidRPr="00A55A51" w:rsidRDefault="00696B34" w:rsidP="00696B34">
      <w:pPr>
        <w:spacing w:after="120" w:line="360" w:lineRule="auto"/>
        <w:ind w:firstLine="720"/>
        <w:rPr>
          <w:rFonts w:cstheme="minorHAnsi"/>
        </w:rPr>
      </w:pPr>
      <w:r w:rsidRPr="00A55A51">
        <w:rPr>
          <w:rFonts w:cstheme="minorHAnsi"/>
        </w:rPr>
        <w:t xml:space="preserve">Average NRA rates in developed countries declined over the last 19 years, from 36.8% in 2005 to 16% in 2023 (Figure 6). This decline was mostly driven by the market price support, reflecting a shift </w:t>
      </w:r>
      <w:r w:rsidR="000E792B">
        <w:rPr>
          <w:rFonts w:cstheme="minorHAnsi"/>
        </w:rPr>
        <w:t xml:space="preserve">in </w:t>
      </w:r>
      <w:r w:rsidRPr="00A55A51">
        <w:rPr>
          <w:rFonts w:cstheme="minorHAnsi"/>
        </w:rPr>
        <w:t xml:space="preserve">more trade liberalizing policies. On the subsidy component of NRA, we see support goes mostly to others type, which include both decoupled payment and payments to factors of production. Subsidy rates that are production linked are quite </w:t>
      </w:r>
      <w:r w:rsidR="000C1230" w:rsidRPr="00A55A51">
        <w:rPr>
          <w:rFonts w:cstheme="minorHAnsi"/>
        </w:rPr>
        <w:t>small and</w:t>
      </w:r>
      <w:r w:rsidRPr="00A55A51">
        <w:rPr>
          <w:rFonts w:cstheme="minorHAnsi"/>
        </w:rPr>
        <w:t xml:space="preserve"> declined from 2.3% in 2005 to 0.2% in 2023. Input subsidies as a share of output value at world prices also declined over the years, from 3.9% in 2005 to 2.8% in 2023. </w:t>
      </w:r>
    </w:p>
    <w:p w14:paraId="472C82CF" w14:textId="77777777" w:rsidR="00696B34" w:rsidRPr="00A55A51" w:rsidRDefault="00696B34" w:rsidP="00696B34">
      <w:pPr>
        <w:rPr>
          <w:rFonts w:cstheme="minorHAnsi"/>
          <w:b/>
        </w:rPr>
      </w:pPr>
    </w:p>
    <w:p w14:paraId="11A31BBD" w14:textId="77777777" w:rsidR="00696B34" w:rsidRPr="00A55A51" w:rsidRDefault="00696B34" w:rsidP="00696B34">
      <w:pPr>
        <w:rPr>
          <w:rFonts w:cstheme="minorHAnsi"/>
          <w:b/>
        </w:rPr>
      </w:pPr>
      <w:r w:rsidRPr="00A55A51">
        <w:rPr>
          <w:rFonts w:cstheme="minorHAnsi"/>
          <w:noProof/>
        </w:rPr>
        <w:lastRenderedPageBreak/>
        <w:drawing>
          <wp:inline distT="0" distB="0" distL="0" distR="0" wp14:anchorId="0BDB23AD" wp14:editId="70F46ABA">
            <wp:extent cx="5749747" cy="3202305"/>
            <wp:effectExtent l="0" t="0" r="3810" b="17145"/>
            <wp:docPr id="978270310" name="Chart 1">
              <a:extLst xmlns:a="http://schemas.openxmlformats.org/drawingml/2006/main">
                <a:ext uri="{FF2B5EF4-FFF2-40B4-BE49-F238E27FC236}">
                  <a16:creationId xmlns:a16="http://schemas.microsoft.com/office/drawing/2014/main" id="{44CB9B8F-9B12-CEA5-A300-AE052EB3E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96BE1A6" w14:textId="328306CE" w:rsidR="00696B34" w:rsidRPr="00F23FF1" w:rsidRDefault="00F23FF1" w:rsidP="00F23FF1">
      <w:pPr>
        <w:pStyle w:val="Caption"/>
        <w:rPr>
          <w:rFonts w:asciiTheme="minorHAnsi" w:hAnsiTheme="minorHAnsi" w:cstheme="minorHAnsi"/>
          <w:b w:val="0"/>
          <w:bCs/>
        </w:rPr>
      </w:pPr>
      <w:bookmarkStart w:id="20" w:name="_Toc195126830"/>
      <w:r>
        <w:t xml:space="preserve">Figure </w:t>
      </w:r>
      <w:fldSimple w:instr=" SEQ Figure \* ARABIC ">
        <w:r>
          <w:rPr>
            <w:noProof/>
          </w:rPr>
          <w:t>6</w:t>
        </w:r>
      </w:fldSimple>
      <w:r>
        <w:t>:</w:t>
      </w:r>
      <w:r w:rsidR="00696B34" w:rsidRPr="00A55A51">
        <w:rPr>
          <w:rFonts w:asciiTheme="minorHAnsi" w:hAnsiTheme="minorHAnsi" w:cstheme="minorHAnsi"/>
        </w:rPr>
        <w:t xml:space="preserve"> </w:t>
      </w:r>
      <w:r w:rsidR="00696B34" w:rsidRPr="00F23FF1">
        <w:rPr>
          <w:rFonts w:asciiTheme="minorHAnsi" w:hAnsiTheme="minorHAnsi" w:cstheme="minorHAnsi"/>
          <w:b w:val="0"/>
          <w:bCs/>
        </w:rPr>
        <w:t>Components of Total NRA as a share of Agricultural Output Value % in High Income Countries</w:t>
      </w:r>
      <w:bookmarkEnd w:id="20"/>
    </w:p>
    <w:p w14:paraId="7ABC7BC9" w14:textId="77777777" w:rsidR="00696B34" w:rsidRPr="00A55A51" w:rsidRDefault="00696B34" w:rsidP="00696B34">
      <w:pPr>
        <w:rPr>
          <w:rFonts w:cstheme="minorHAnsi"/>
          <w:bCs/>
        </w:rPr>
      </w:pPr>
      <w:r w:rsidRPr="00A55A51">
        <w:rPr>
          <w:rFonts w:cstheme="minorHAnsi"/>
          <w:bCs/>
        </w:rPr>
        <w:t>Source: AgIncentives database</w:t>
      </w:r>
    </w:p>
    <w:p w14:paraId="4F3755BA" w14:textId="77777777" w:rsidR="00EA1ACF" w:rsidRPr="00A55A51" w:rsidRDefault="00EA1ACF" w:rsidP="00EA1ACF">
      <w:pPr>
        <w:spacing w:after="0" w:line="360" w:lineRule="auto"/>
        <w:ind w:firstLine="720"/>
        <w:rPr>
          <w:rFonts w:cstheme="minorHAnsi"/>
        </w:rPr>
      </w:pPr>
    </w:p>
    <w:p w14:paraId="2A6D0F26" w14:textId="72413B87" w:rsidR="00696B34" w:rsidRPr="00A55A51" w:rsidRDefault="00696B34" w:rsidP="00EA1ACF">
      <w:pPr>
        <w:spacing w:after="0" w:line="360" w:lineRule="auto"/>
        <w:ind w:firstLine="720"/>
        <w:rPr>
          <w:rFonts w:cstheme="minorHAnsi"/>
        </w:rPr>
      </w:pPr>
      <w:r w:rsidRPr="00A55A51">
        <w:rPr>
          <w:rFonts w:cstheme="minorHAnsi"/>
        </w:rPr>
        <w:t xml:space="preserve">On the other hand, NRA rates in middle income countries show volatility over the years (Figure 7). Two components – input subsidy and price support – largely contribute to the total NRA rates, which is in the range of -1.0% to 12% (7.7% in 2023). Price support became </w:t>
      </w:r>
      <w:r w:rsidR="00526F6F" w:rsidRPr="00A55A51">
        <w:rPr>
          <w:rFonts w:cstheme="minorHAnsi"/>
        </w:rPr>
        <w:t>negative</w:t>
      </w:r>
      <w:r w:rsidRPr="00A55A51">
        <w:rPr>
          <w:rFonts w:cstheme="minorHAnsi"/>
        </w:rPr>
        <w:t xml:space="preserve"> in the </w:t>
      </w:r>
      <w:r w:rsidR="00526F6F" w:rsidRPr="00A55A51">
        <w:rPr>
          <w:rFonts w:cstheme="minorHAnsi"/>
        </w:rPr>
        <w:t>years</w:t>
      </w:r>
      <w:r w:rsidRPr="00A55A51">
        <w:rPr>
          <w:rFonts w:cstheme="minorHAnsi"/>
        </w:rPr>
        <w:t xml:space="preserve"> 2007, 2008 and 2011 when the world price of commodities saw price increases. This suggests that the countries in middle income countries attempted to contain price transmission from international to domestic level during those years. Input subsidies remained same more or less. </w:t>
      </w:r>
    </w:p>
    <w:p w14:paraId="34EAE3E5" w14:textId="77777777" w:rsidR="00696B34" w:rsidRPr="00A55A51" w:rsidRDefault="00696B34" w:rsidP="00696B34">
      <w:pPr>
        <w:rPr>
          <w:rFonts w:cstheme="minorHAnsi"/>
          <w:b/>
        </w:rPr>
      </w:pPr>
    </w:p>
    <w:p w14:paraId="32359FC9" w14:textId="77777777" w:rsidR="00696B34" w:rsidRPr="00A55A51" w:rsidRDefault="00696B34" w:rsidP="00696B34">
      <w:pPr>
        <w:rPr>
          <w:rFonts w:cstheme="minorHAnsi"/>
          <w:b/>
        </w:rPr>
      </w:pPr>
      <w:r w:rsidRPr="00A55A51">
        <w:rPr>
          <w:rFonts w:cstheme="minorHAnsi"/>
          <w:noProof/>
        </w:rPr>
        <w:lastRenderedPageBreak/>
        <w:drawing>
          <wp:inline distT="0" distB="0" distL="0" distR="0" wp14:anchorId="6BAF5B54" wp14:editId="109B1ACC">
            <wp:extent cx="6392174" cy="2994025"/>
            <wp:effectExtent l="0" t="0" r="8890" b="15875"/>
            <wp:docPr id="1397975048" name="Chart 1">
              <a:extLst xmlns:a="http://schemas.openxmlformats.org/drawingml/2006/main">
                <a:ext uri="{FF2B5EF4-FFF2-40B4-BE49-F238E27FC236}">
                  <a16:creationId xmlns:a16="http://schemas.microsoft.com/office/drawing/2014/main" id="{0142577A-5516-306F-38C2-9A1E91DE6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3FA275" w14:textId="797E03C2" w:rsidR="00696B34" w:rsidRPr="00F23FF1" w:rsidRDefault="00F23FF1" w:rsidP="00F23FF1">
      <w:pPr>
        <w:pStyle w:val="Caption"/>
        <w:rPr>
          <w:rFonts w:asciiTheme="minorHAnsi" w:hAnsiTheme="minorHAnsi" w:cstheme="minorHAnsi"/>
          <w:b w:val="0"/>
          <w:bCs/>
        </w:rPr>
      </w:pPr>
      <w:bookmarkStart w:id="21" w:name="_Toc195126831"/>
      <w:r>
        <w:t xml:space="preserve">Figure </w:t>
      </w:r>
      <w:fldSimple w:instr=" SEQ Figure \* ARABIC ">
        <w:r>
          <w:rPr>
            <w:noProof/>
          </w:rPr>
          <w:t>7</w:t>
        </w:r>
      </w:fldSimple>
      <w:r>
        <w:t>:</w:t>
      </w:r>
      <w:r w:rsidR="00696B34" w:rsidRPr="00A55A51">
        <w:rPr>
          <w:rFonts w:asciiTheme="minorHAnsi" w:hAnsiTheme="minorHAnsi" w:cstheme="minorHAnsi"/>
        </w:rPr>
        <w:t xml:space="preserve"> </w:t>
      </w:r>
      <w:r w:rsidR="00696B34" w:rsidRPr="00F23FF1">
        <w:rPr>
          <w:rFonts w:asciiTheme="minorHAnsi" w:hAnsiTheme="minorHAnsi" w:cstheme="minorHAnsi"/>
          <w:b w:val="0"/>
          <w:bCs/>
        </w:rPr>
        <w:t>Components of Total NRA as a share of Agricultural Output Value % in Middle Income Countries</w:t>
      </w:r>
      <w:bookmarkEnd w:id="21"/>
    </w:p>
    <w:p w14:paraId="7A48446F" w14:textId="77777777" w:rsidR="00696B34" w:rsidRPr="00A55A51" w:rsidRDefault="00696B34" w:rsidP="00696B34">
      <w:pPr>
        <w:rPr>
          <w:rFonts w:cstheme="minorHAnsi"/>
          <w:bCs/>
        </w:rPr>
      </w:pPr>
      <w:r w:rsidRPr="00A55A51">
        <w:rPr>
          <w:rFonts w:cstheme="minorHAnsi"/>
          <w:bCs/>
        </w:rPr>
        <w:t>Source: AgIncentives database</w:t>
      </w:r>
    </w:p>
    <w:p w14:paraId="41763FAC" w14:textId="77777777" w:rsidR="00696B34" w:rsidRPr="00A55A51" w:rsidRDefault="00696B34" w:rsidP="00EA1ACF">
      <w:pPr>
        <w:spacing w:after="0"/>
        <w:rPr>
          <w:rFonts w:cstheme="minorHAnsi"/>
          <w:b/>
        </w:rPr>
      </w:pPr>
    </w:p>
    <w:p w14:paraId="7075924E" w14:textId="77777777" w:rsidR="00696B34" w:rsidRPr="00A55A51" w:rsidRDefault="00696B34" w:rsidP="00EA1ACF">
      <w:pPr>
        <w:spacing w:after="0" w:line="360" w:lineRule="auto"/>
        <w:ind w:firstLine="720"/>
        <w:rPr>
          <w:rFonts w:cstheme="minorHAnsi"/>
        </w:rPr>
      </w:pPr>
      <w:r w:rsidRPr="00A55A51">
        <w:rPr>
          <w:rFonts w:cstheme="minorHAnsi"/>
        </w:rPr>
        <w:t xml:space="preserve">Low-income countries seem taxing agriculture much as suggested by the negative NRA rates, though there seems to have been a shift in this rate lately (Figure 8). In 2005 the NRA rate was negative at 26.3% and then remained strongly negative until 2020. Negative protection rate (NRP) was the main driver of this overall NRA rates. All types of farm subsidies are very low in this now small group of countries. </w:t>
      </w:r>
    </w:p>
    <w:p w14:paraId="697ABEF5" w14:textId="77777777" w:rsidR="00696B34" w:rsidRPr="00A55A51" w:rsidRDefault="00696B34" w:rsidP="00696B34">
      <w:pPr>
        <w:rPr>
          <w:rFonts w:cstheme="minorHAnsi"/>
          <w:b/>
        </w:rPr>
      </w:pPr>
    </w:p>
    <w:p w14:paraId="24FCAA54" w14:textId="77777777" w:rsidR="00696B34" w:rsidRPr="00A55A51" w:rsidRDefault="00696B34" w:rsidP="00696B34">
      <w:pPr>
        <w:rPr>
          <w:rFonts w:cstheme="minorHAnsi"/>
          <w:b/>
        </w:rPr>
      </w:pPr>
      <w:r w:rsidRPr="00A55A51">
        <w:rPr>
          <w:rFonts w:cstheme="minorHAnsi"/>
          <w:noProof/>
        </w:rPr>
        <w:lastRenderedPageBreak/>
        <w:drawing>
          <wp:inline distT="0" distB="0" distL="0" distR="0" wp14:anchorId="22CCCCAF" wp14:editId="25D52CCB">
            <wp:extent cx="6064300" cy="3288665"/>
            <wp:effectExtent l="0" t="0" r="12700" b="6985"/>
            <wp:docPr id="1564730788" name="Chart 1">
              <a:extLst xmlns:a="http://schemas.openxmlformats.org/drawingml/2006/main">
                <a:ext uri="{FF2B5EF4-FFF2-40B4-BE49-F238E27FC236}">
                  <a16:creationId xmlns:a16="http://schemas.microsoft.com/office/drawing/2014/main" id="{D91B5B77-CD77-B9D9-9C2C-77CD4BACA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C1F0C85" w14:textId="59993513" w:rsidR="00696B34" w:rsidRDefault="00F23FF1" w:rsidP="00F23FF1">
      <w:pPr>
        <w:pStyle w:val="Caption"/>
        <w:spacing w:after="0"/>
        <w:rPr>
          <w:rFonts w:asciiTheme="minorHAnsi" w:hAnsiTheme="minorHAnsi" w:cstheme="minorHAnsi"/>
          <w:b w:val="0"/>
          <w:bCs/>
        </w:rPr>
      </w:pPr>
      <w:bookmarkStart w:id="22" w:name="_Toc195126832"/>
      <w:r>
        <w:t xml:space="preserve">Figure </w:t>
      </w:r>
      <w:fldSimple w:instr=" SEQ Figure \* ARABIC ">
        <w:r>
          <w:rPr>
            <w:noProof/>
          </w:rPr>
          <w:t>8</w:t>
        </w:r>
      </w:fldSimple>
      <w:r>
        <w:t>:</w:t>
      </w:r>
      <w:r w:rsidR="00696B34" w:rsidRPr="00A55A51">
        <w:rPr>
          <w:rFonts w:asciiTheme="minorHAnsi" w:hAnsiTheme="minorHAnsi" w:cstheme="minorHAnsi"/>
        </w:rPr>
        <w:t xml:space="preserve"> </w:t>
      </w:r>
      <w:r w:rsidR="00696B34" w:rsidRPr="00F23FF1">
        <w:rPr>
          <w:rFonts w:asciiTheme="minorHAnsi" w:hAnsiTheme="minorHAnsi" w:cstheme="minorHAnsi"/>
          <w:b w:val="0"/>
          <w:bCs/>
        </w:rPr>
        <w:t>Components of Total NRA as a share of Agricultural Output Value % in Low Income Countries</w:t>
      </w:r>
      <w:bookmarkEnd w:id="22"/>
    </w:p>
    <w:p w14:paraId="69FBD572" w14:textId="77777777" w:rsidR="00F23FF1" w:rsidRPr="00F23FF1" w:rsidRDefault="00F23FF1" w:rsidP="00F23FF1">
      <w:pPr>
        <w:spacing w:after="0"/>
      </w:pPr>
    </w:p>
    <w:p w14:paraId="1E30000B" w14:textId="77777777" w:rsidR="00696B34" w:rsidRPr="00A55A51" w:rsidRDefault="00696B34" w:rsidP="00F23FF1">
      <w:pPr>
        <w:spacing w:after="0"/>
        <w:rPr>
          <w:rFonts w:cstheme="minorHAnsi"/>
          <w:bCs/>
        </w:rPr>
      </w:pPr>
      <w:r w:rsidRPr="00A55A51">
        <w:rPr>
          <w:rFonts w:cstheme="minorHAnsi"/>
          <w:bCs/>
        </w:rPr>
        <w:t>Source: AgIncentives database</w:t>
      </w:r>
    </w:p>
    <w:p w14:paraId="00A62EA7" w14:textId="77777777" w:rsidR="00696B34" w:rsidRPr="00A55A51" w:rsidRDefault="00696B34" w:rsidP="00696B34">
      <w:pPr>
        <w:pStyle w:val="Heading2"/>
        <w:rPr>
          <w:rFonts w:asciiTheme="minorHAnsi" w:hAnsiTheme="minorHAnsi" w:cstheme="minorHAnsi"/>
        </w:rPr>
      </w:pPr>
      <w:bookmarkStart w:id="23" w:name="_Toc195126852"/>
      <w:r w:rsidRPr="00A55A51">
        <w:rPr>
          <w:rFonts w:asciiTheme="minorHAnsi" w:hAnsiTheme="minorHAnsi" w:cstheme="minorHAnsi"/>
        </w:rPr>
        <w:t>6. Conclusions</w:t>
      </w:r>
      <w:bookmarkEnd w:id="23"/>
    </w:p>
    <w:p w14:paraId="1520D523" w14:textId="49F3EF39" w:rsidR="00696B34" w:rsidRPr="00A55A51" w:rsidRDefault="00696B34" w:rsidP="00696B34">
      <w:pPr>
        <w:tabs>
          <w:tab w:val="left" w:pos="547"/>
        </w:tabs>
        <w:spacing w:after="120"/>
        <w:rPr>
          <w:rFonts w:cstheme="minorHAnsi"/>
        </w:rPr>
      </w:pPr>
      <w:r w:rsidRPr="00A55A51">
        <w:rPr>
          <w:rFonts w:cstheme="minorHAnsi"/>
        </w:rPr>
        <w:tab/>
        <w:t xml:space="preserve">The Agricultural Incentives Consortium is a broad collaborative effort on part of multiple IOs to create a common set of indicators that measure distortions to agricultural incentives, with a focus on prices. The Consortium also aims to create a community of practices that can help exchange ideas and information between organizations. </w:t>
      </w:r>
    </w:p>
    <w:p w14:paraId="279D5134" w14:textId="77777777" w:rsidR="00696B34" w:rsidRPr="00A55A51" w:rsidRDefault="00696B34" w:rsidP="00696B34">
      <w:pPr>
        <w:tabs>
          <w:tab w:val="left" w:pos="547"/>
        </w:tabs>
        <w:spacing w:after="120" w:line="360" w:lineRule="auto"/>
        <w:ind w:firstLine="547"/>
        <w:rPr>
          <w:rFonts w:cstheme="minorHAnsi"/>
        </w:rPr>
      </w:pPr>
      <w:r w:rsidRPr="00A55A51">
        <w:rPr>
          <w:rFonts w:cstheme="minorHAnsi"/>
        </w:rPr>
        <w:t>The initial output of the Consortium is to provide a global data set of NRPs based on combined IO data. This paper presents NRPs based on, but not limited to, the AgIncentives Consortium efforts. The results show that global average NRP moves in the opposite direction to the global Food Price index, suggesting that government policies, on average, reacted to food price crises of 2008 and 2011. Furthermore, it shows that trends in NRPs differed by income category, with high income countries lowering protection of producers, and middle-income countries increasing protection. There is significant variation in the average agricultural sector NRPs for low-income countries, which are now mostly in Africa.</w:t>
      </w:r>
    </w:p>
    <w:p w14:paraId="59410CE5" w14:textId="77777777" w:rsidR="00696B34" w:rsidRPr="00A55A51" w:rsidRDefault="00696B34" w:rsidP="00696B34">
      <w:pPr>
        <w:tabs>
          <w:tab w:val="left" w:pos="547"/>
        </w:tabs>
        <w:spacing w:after="120" w:line="360" w:lineRule="auto"/>
        <w:ind w:firstLine="547"/>
        <w:rPr>
          <w:rFonts w:cstheme="minorHAnsi"/>
        </w:rPr>
      </w:pPr>
      <w:r w:rsidRPr="00A55A51">
        <w:rPr>
          <w:rFonts w:cstheme="minorHAnsi"/>
        </w:rPr>
        <w:t xml:space="preserve">The 2025 update of the AgIncentives database extends both the length of time for which measures of support are available and the range of measures available. The extension from NRP measures alone to a set of Nominal Rate of Assistance (NRA) measures provides a much broader view of the extent and nature of global agricultural assistance than was previously available. </w:t>
      </w:r>
    </w:p>
    <w:p w14:paraId="2F989CF3" w14:textId="30124580" w:rsidR="00B02968" w:rsidRPr="00A55A51" w:rsidRDefault="00696B34" w:rsidP="00696B34">
      <w:pPr>
        <w:spacing w:after="120" w:line="360" w:lineRule="auto"/>
        <w:ind w:firstLine="547"/>
        <w:rPr>
          <w:rFonts w:cstheme="minorHAnsi"/>
        </w:rPr>
      </w:pPr>
      <w:r w:rsidRPr="00A55A51">
        <w:rPr>
          <w:rFonts w:cstheme="minorHAnsi"/>
        </w:rPr>
        <w:lastRenderedPageBreak/>
        <w:t xml:space="preserve">One aim of this exercise is to provide a unified measurement of distortions by agricultural policies for a wide audience of academics and non-academics. This type of unified approach is designed to help analysts understand the effects of policy and governments </w:t>
      </w:r>
      <w:r w:rsidR="008A6731" w:rsidRPr="00A55A51">
        <w:rPr>
          <w:rFonts w:cstheme="minorHAnsi"/>
        </w:rPr>
        <w:t>design</w:t>
      </w:r>
      <w:r w:rsidRPr="00A55A51">
        <w:rPr>
          <w:rFonts w:cstheme="minorHAnsi"/>
        </w:rPr>
        <w:t xml:space="preserve"> policies and measure their effects accurately. The global NRP and NRA measures rely on the same methodology, utilizing each IO database, in a consistent manner. They provide continuous and consistent measurements across a wide sectoral and geographical coverage, allowing stakeholders interpret the implications of agricultural policy design in an effective manner. We look forward to comments and feedback that can help improve the value of the information provided.</w:t>
      </w:r>
    </w:p>
    <w:p w14:paraId="1427A772" w14:textId="77777777" w:rsidR="00B02968" w:rsidRPr="00A55A51" w:rsidRDefault="00B02968">
      <w:pPr>
        <w:rPr>
          <w:rFonts w:cstheme="minorHAnsi"/>
        </w:rPr>
      </w:pPr>
      <w:r w:rsidRPr="00A55A51">
        <w:rPr>
          <w:rFonts w:cstheme="minorHAnsi"/>
        </w:rPr>
        <w:br w:type="page"/>
      </w:r>
    </w:p>
    <w:p w14:paraId="1CA72DA8" w14:textId="77777777" w:rsidR="00B02968" w:rsidRPr="00A55A51" w:rsidRDefault="00B02968" w:rsidP="00B02968">
      <w:pPr>
        <w:pStyle w:val="Heading2"/>
        <w:jc w:val="center"/>
        <w:rPr>
          <w:rFonts w:asciiTheme="minorHAnsi" w:hAnsiTheme="minorHAnsi" w:cstheme="minorHAnsi"/>
        </w:rPr>
      </w:pPr>
      <w:bookmarkStart w:id="24" w:name="_Toc195126853"/>
      <w:bookmarkStart w:id="25" w:name="_Toc110427321"/>
      <w:r w:rsidRPr="00A55A51">
        <w:rPr>
          <w:rFonts w:asciiTheme="minorHAnsi" w:hAnsiTheme="minorHAnsi" w:cstheme="minorHAnsi"/>
        </w:rPr>
        <w:lastRenderedPageBreak/>
        <w:t>Appendix</w:t>
      </w:r>
      <w:bookmarkEnd w:id="24"/>
    </w:p>
    <w:p w14:paraId="548F3A68" w14:textId="77777777" w:rsidR="00B02968" w:rsidRPr="00A55A51" w:rsidRDefault="00B02968" w:rsidP="00B02968">
      <w:pPr>
        <w:pStyle w:val="Heading2"/>
        <w:jc w:val="center"/>
        <w:rPr>
          <w:rFonts w:asciiTheme="minorHAnsi" w:hAnsiTheme="minorHAnsi" w:cstheme="minorHAnsi"/>
        </w:rPr>
      </w:pPr>
      <w:bookmarkStart w:id="26" w:name="_Toc195126854"/>
      <w:r w:rsidRPr="00A55A51">
        <w:rPr>
          <w:rFonts w:asciiTheme="minorHAnsi" w:hAnsiTheme="minorHAnsi" w:cstheme="minorHAnsi"/>
        </w:rPr>
        <w:t>Building an AgIncentives Release</w:t>
      </w:r>
      <w:bookmarkEnd w:id="25"/>
      <w:bookmarkEnd w:id="26"/>
    </w:p>
    <w:p w14:paraId="15C08059" w14:textId="77777777" w:rsidR="00B02968" w:rsidRPr="00A55A51" w:rsidRDefault="00B02968" w:rsidP="00B02968">
      <w:pPr>
        <w:spacing w:after="0"/>
        <w:rPr>
          <w:rFonts w:cstheme="minorHAnsi"/>
        </w:rPr>
      </w:pPr>
    </w:p>
    <w:p w14:paraId="1508A4A3" w14:textId="77777777" w:rsidR="00B02968" w:rsidRPr="00A55A51" w:rsidRDefault="00B02968" w:rsidP="00B02968">
      <w:pPr>
        <w:spacing w:after="0" w:line="360" w:lineRule="auto"/>
        <w:rPr>
          <w:rFonts w:cstheme="minorHAnsi"/>
        </w:rPr>
      </w:pPr>
      <w:r w:rsidRPr="00A55A51">
        <w:rPr>
          <w:rFonts w:cstheme="minorHAnsi"/>
        </w:rPr>
        <w:t xml:space="preserve">The process of building a new AgIncentives release, as represented by </w:t>
      </w:r>
      <w:r w:rsidRPr="00A55A51">
        <w:rPr>
          <w:rFonts w:cstheme="minorHAnsi"/>
        </w:rPr>
        <w:fldChar w:fldCharType="begin"/>
      </w:r>
      <w:r w:rsidRPr="00A55A51">
        <w:rPr>
          <w:rFonts w:cstheme="minorHAnsi"/>
        </w:rPr>
        <w:instrText xml:space="preserve"> REF _Ref87869665 \h  \* MERGEFORMAT </w:instrText>
      </w:r>
      <w:r w:rsidRPr="00A55A51">
        <w:rPr>
          <w:rFonts w:cstheme="minorHAnsi"/>
        </w:rPr>
      </w:r>
      <w:r w:rsidRPr="00A55A51">
        <w:rPr>
          <w:rFonts w:cstheme="minorHAnsi"/>
        </w:rPr>
        <w:fldChar w:fldCharType="separate"/>
      </w:r>
      <w:r w:rsidRPr="00A55A51">
        <w:rPr>
          <w:rFonts w:cstheme="minorHAnsi"/>
        </w:rPr>
        <w:t xml:space="preserve">Figure </w:t>
      </w:r>
      <w:r w:rsidRPr="00A55A51">
        <w:rPr>
          <w:rFonts w:cstheme="minorHAnsi"/>
          <w:noProof/>
        </w:rPr>
        <w:t>1</w:t>
      </w:r>
      <w:r w:rsidRPr="00A55A51">
        <w:rPr>
          <w:rFonts w:cstheme="minorHAnsi"/>
        </w:rPr>
        <w:fldChar w:fldCharType="end"/>
      </w:r>
      <w:r w:rsidRPr="00A55A51">
        <w:rPr>
          <w:rFonts w:cstheme="minorHAnsi"/>
        </w:rPr>
        <w:t>, involves the following five steps.</w:t>
      </w:r>
    </w:p>
    <w:p w14:paraId="07A0AD93" w14:textId="77777777" w:rsidR="00B02968" w:rsidRPr="00A55A51" w:rsidRDefault="00B02968" w:rsidP="00B02968">
      <w:pPr>
        <w:pStyle w:val="Heading2"/>
        <w:rPr>
          <w:rFonts w:asciiTheme="minorHAnsi" w:hAnsiTheme="minorHAnsi" w:cstheme="minorHAnsi"/>
        </w:rPr>
      </w:pPr>
      <w:bookmarkStart w:id="27" w:name="_Toc110427322"/>
      <w:bookmarkStart w:id="28" w:name="_Toc195126855"/>
      <w:r w:rsidRPr="00A55A51">
        <w:rPr>
          <w:rFonts w:asciiTheme="minorHAnsi" w:hAnsiTheme="minorHAnsi" w:cstheme="minorHAnsi"/>
        </w:rPr>
        <w:t xml:space="preserve">1 Review and processing of source data received from </w:t>
      </w:r>
      <w:bookmarkEnd w:id="27"/>
      <w:r w:rsidRPr="00A55A51">
        <w:rPr>
          <w:rFonts w:asciiTheme="minorHAnsi" w:hAnsiTheme="minorHAnsi" w:cstheme="minorHAnsi"/>
        </w:rPr>
        <w:t>Consortium Members.</w:t>
      </w:r>
      <w:bookmarkEnd w:id="28"/>
    </w:p>
    <w:p w14:paraId="3A2FA842" w14:textId="77777777" w:rsidR="00B02968" w:rsidRPr="00A55A51" w:rsidRDefault="00B02968" w:rsidP="00B02968">
      <w:pPr>
        <w:spacing w:after="0" w:line="360" w:lineRule="auto"/>
        <w:rPr>
          <w:rFonts w:cstheme="minorHAnsi"/>
        </w:rPr>
      </w:pPr>
      <w:r w:rsidRPr="00A55A51">
        <w:rPr>
          <w:rFonts w:cstheme="minorHAnsi"/>
        </w:rPr>
        <w:t xml:space="preserve">Upon receiving source or raw data and documentation files from Consortium members, the raw data files and the documentation accompanying them are reviewed. This determines the next steps– starting with updating the commodity mapping file, downloading value of production data from the Consortium and, where necessary, from FAOSTAT. The bulk of the data processing is done in Python. Consistent Python programs have been developed for each data supplier and are updated as new data arrive.  </w:t>
      </w:r>
    </w:p>
    <w:p w14:paraId="5156CD3C" w14:textId="77777777" w:rsidR="00B02968" w:rsidRPr="00A55A51" w:rsidRDefault="00B02968" w:rsidP="00B02968">
      <w:pPr>
        <w:spacing w:after="0" w:line="360" w:lineRule="auto"/>
        <w:rPr>
          <w:rFonts w:cstheme="minorHAnsi"/>
        </w:rPr>
      </w:pPr>
      <w:r w:rsidRPr="00A55A51">
        <w:rPr>
          <w:rFonts w:cstheme="minorHAnsi"/>
        </w:rPr>
        <w:t xml:space="preserve">Data processing in Python takes several steps – plugging in raw data, extracting exchange rates, mapping commodities to standard nomenclature, generating sets of columns with dimension country, commodity and year and finally producing data in a standard format. In the process, the data are checked for missing information, outliers, and other consistencies. </w:t>
      </w:r>
    </w:p>
    <w:p w14:paraId="0A0C47CC" w14:textId="77777777" w:rsidR="00B02968" w:rsidRPr="00A55A51" w:rsidRDefault="00B02968" w:rsidP="00B02968">
      <w:pPr>
        <w:pStyle w:val="Heading2"/>
        <w:rPr>
          <w:rFonts w:asciiTheme="minorHAnsi" w:hAnsiTheme="minorHAnsi" w:cstheme="minorHAnsi"/>
        </w:rPr>
      </w:pPr>
      <w:bookmarkStart w:id="29" w:name="_Toc110427323"/>
      <w:bookmarkStart w:id="30" w:name="_Toc195126856"/>
      <w:r w:rsidRPr="00A55A51">
        <w:rPr>
          <w:rFonts w:asciiTheme="minorHAnsi" w:hAnsiTheme="minorHAnsi" w:cstheme="minorHAnsi"/>
        </w:rPr>
        <w:t>2 Work on consolidating the database in R, aggregation and producing indicators</w:t>
      </w:r>
      <w:bookmarkEnd w:id="29"/>
      <w:bookmarkEnd w:id="30"/>
      <w:r w:rsidRPr="00A55A51">
        <w:rPr>
          <w:rFonts w:asciiTheme="minorHAnsi" w:hAnsiTheme="minorHAnsi" w:cstheme="minorHAnsi"/>
        </w:rPr>
        <w:t xml:space="preserve">  </w:t>
      </w:r>
    </w:p>
    <w:p w14:paraId="142B1E26" w14:textId="77777777" w:rsidR="00B02968" w:rsidRPr="00A55A51" w:rsidRDefault="00B02968" w:rsidP="00B02968">
      <w:pPr>
        <w:spacing w:after="0" w:line="360" w:lineRule="auto"/>
        <w:rPr>
          <w:rFonts w:cstheme="minorHAnsi"/>
        </w:rPr>
      </w:pPr>
      <w:r w:rsidRPr="00A55A51">
        <w:rPr>
          <w:rFonts w:cstheme="minorHAnsi"/>
        </w:rPr>
        <w:t xml:space="preserve">Following the first stage of data processing to the data are consolidated and put in a consolidated data file for all countries used to process the data and generate the final set of indicators. Standardized R programs are used to develop the indicators, both at aggregate and disaggregate level. Quality control is important at this stage, to identify for duplication of data, mismatch between commodities and nomenclature, missing producer and reference price data, monetary unit, and notes columns. </w:t>
      </w:r>
    </w:p>
    <w:p w14:paraId="553064C1" w14:textId="77777777" w:rsidR="00B02968" w:rsidRPr="00A55A51" w:rsidRDefault="00B02968" w:rsidP="00B02968">
      <w:pPr>
        <w:spacing w:after="0" w:line="360" w:lineRule="auto"/>
        <w:rPr>
          <w:rFonts w:cstheme="minorHAnsi"/>
        </w:rPr>
      </w:pPr>
      <w:r w:rsidRPr="00A55A51">
        <w:rPr>
          <w:rFonts w:cstheme="minorHAnsi"/>
        </w:rPr>
        <w:t xml:space="preserve">At the final stage, NRP and other NRA measures are computed by country, commodity, and year and at key levels of aggregation. </w:t>
      </w:r>
    </w:p>
    <w:p w14:paraId="3C962EDC" w14:textId="77777777" w:rsidR="00B02968" w:rsidRPr="00A55A51" w:rsidRDefault="00B02968" w:rsidP="00B02968">
      <w:pPr>
        <w:pStyle w:val="Heading2"/>
        <w:rPr>
          <w:rFonts w:asciiTheme="minorHAnsi" w:hAnsiTheme="minorHAnsi" w:cstheme="minorHAnsi"/>
        </w:rPr>
      </w:pPr>
      <w:bookmarkStart w:id="31" w:name="_Toc110427324"/>
      <w:bookmarkStart w:id="32" w:name="_Toc195126857"/>
      <w:r w:rsidRPr="00A55A51">
        <w:rPr>
          <w:rFonts w:asciiTheme="minorHAnsi" w:hAnsiTheme="minorHAnsi" w:cstheme="minorHAnsi"/>
        </w:rPr>
        <w:t>3 Review of NRA/NRP indicators and quality control, internally and by IOs</w:t>
      </w:r>
      <w:bookmarkEnd w:id="31"/>
      <w:bookmarkEnd w:id="32"/>
      <w:r w:rsidRPr="00A55A51">
        <w:rPr>
          <w:rFonts w:asciiTheme="minorHAnsi" w:hAnsiTheme="minorHAnsi" w:cstheme="minorHAnsi"/>
        </w:rPr>
        <w:t xml:space="preserve"> </w:t>
      </w:r>
    </w:p>
    <w:p w14:paraId="6890733A" w14:textId="77777777" w:rsidR="00B02968" w:rsidRPr="00A55A51" w:rsidRDefault="00B02968" w:rsidP="00B02968">
      <w:pPr>
        <w:spacing w:after="0" w:line="360" w:lineRule="auto"/>
        <w:rPr>
          <w:rFonts w:cstheme="minorHAnsi"/>
        </w:rPr>
      </w:pPr>
      <w:r w:rsidRPr="00A55A51">
        <w:rPr>
          <w:rFonts w:cstheme="minorHAnsi"/>
        </w:rPr>
        <w:t xml:space="preserve">This is the final step towards producing a consistent and reliable database on NRA and/or NRP. A key element of the review process on the indicators is examination of the graphs of the indicators at different levels of aggregation - by economic, geographic and product groups and through comparison with the release of previous rounds of data. </w:t>
      </w:r>
    </w:p>
    <w:p w14:paraId="08A178F3" w14:textId="77777777" w:rsidR="00B02968" w:rsidRPr="00A55A51" w:rsidRDefault="00B02968" w:rsidP="00B02968">
      <w:pPr>
        <w:spacing w:after="0" w:line="360" w:lineRule="auto"/>
        <w:rPr>
          <w:rFonts w:cstheme="minorHAnsi"/>
        </w:rPr>
      </w:pPr>
      <w:r w:rsidRPr="00A55A51">
        <w:rPr>
          <w:rFonts w:cstheme="minorHAnsi"/>
        </w:rPr>
        <w:lastRenderedPageBreak/>
        <w:t xml:space="preserve">Data are then returned to the Member Organizations to seek comments, inputs and/or suggestions for fixes.  </w:t>
      </w:r>
    </w:p>
    <w:p w14:paraId="35A9C5F0" w14:textId="77777777" w:rsidR="00B02968" w:rsidRPr="00A55A51" w:rsidRDefault="00B02968" w:rsidP="00A55A51">
      <w:pPr>
        <w:pStyle w:val="Heading2"/>
        <w:rPr>
          <w:rFonts w:asciiTheme="minorHAnsi" w:hAnsiTheme="minorHAnsi" w:cstheme="minorHAnsi"/>
        </w:rPr>
      </w:pPr>
      <w:bookmarkStart w:id="33" w:name="_Toc110427325"/>
      <w:bookmarkStart w:id="34" w:name="_Toc195126858"/>
      <w:r w:rsidRPr="00A55A51">
        <w:rPr>
          <w:rFonts w:asciiTheme="minorHAnsi" w:hAnsiTheme="minorHAnsi" w:cstheme="minorHAnsi"/>
        </w:rPr>
        <w:t>4 Visualization in Tableau</w:t>
      </w:r>
      <w:bookmarkEnd w:id="33"/>
      <w:r w:rsidRPr="00A55A51">
        <w:rPr>
          <w:rFonts w:asciiTheme="minorHAnsi" w:hAnsiTheme="minorHAnsi" w:cstheme="minorHAnsi"/>
        </w:rPr>
        <w:t>/R-Shiny</w:t>
      </w:r>
      <w:bookmarkEnd w:id="34"/>
      <w:r w:rsidRPr="00A55A51">
        <w:rPr>
          <w:rFonts w:asciiTheme="minorHAnsi" w:hAnsiTheme="minorHAnsi" w:cstheme="minorHAnsi"/>
        </w:rPr>
        <w:t xml:space="preserve">  </w:t>
      </w:r>
    </w:p>
    <w:p w14:paraId="4D1B62DA" w14:textId="77777777" w:rsidR="00B02968" w:rsidRPr="00A55A51" w:rsidRDefault="00B02968" w:rsidP="00B02968">
      <w:pPr>
        <w:spacing w:after="0" w:line="360" w:lineRule="auto"/>
        <w:rPr>
          <w:rFonts w:cstheme="minorHAnsi"/>
        </w:rPr>
      </w:pPr>
      <w:r w:rsidRPr="00A55A51">
        <w:rPr>
          <w:rFonts w:cstheme="minorHAnsi"/>
        </w:rPr>
        <w:t xml:space="preserve">Once Consortium Members are satisfied with the measures generated from their inputs, currently Tableau is used to provide visualizations of the dataset along country, product (individual and broad group), economic classification and geographic regions. Our goal is to develop R-Shiny app for visualization of NRA data in the future iteration. </w:t>
      </w:r>
    </w:p>
    <w:p w14:paraId="2EAC16CB" w14:textId="77777777" w:rsidR="00B02968" w:rsidRPr="00A55A51" w:rsidRDefault="00B02968" w:rsidP="00A55A51">
      <w:pPr>
        <w:pStyle w:val="Heading2"/>
      </w:pPr>
      <w:bookmarkStart w:id="35" w:name="_Toc110427326"/>
      <w:bookmarkStart w:id="36" w:name="_Toc195126859"/>
      <w:r w:rsidRPr="00A55A51">
        <w:t>5 Release of database in the Ag-Incentives website</w:t>
      </w:r>
      <w:bookmarkEnd w:id="35"/>
      <w:bookmarkEnd w:id="36"/>
      <w:r w:rsidRPr="00A55A51">
        <w:t xml:space="preserve"> </w:t>
      </w:r>
    </w:p>
    <w:p w14:paraId="1AF33C2B" w14:textId="77777777" w:rsidR="00B02968" w:rsidRPr="00A55A51" w:rsidRDefault="00B02968" w:rsidP="00B02968">
      <w:pPr>
        <w:spacing w:after="0" w:line="360" w:lineRule="auto"/>
        <w:rPr>
          <w:rFonts w:cstheme="minorHAnsi"/>
        </w:rPr>
      </w:pPr>
      <w:r w:rsidRPr="00A55A51">
        <w:rPr>
          <w:rFonts w:cstheme="minorHAnsi"/>
        </w:rPr>
        <w:t>Release of the NRA/NRP database takes place when the data have been scrutinized and visualizations are available. Access to full database is available through the website, as well as standard visualizations.</w:t>
      </w:r>
    </w:p>
    <w:p w14:paraId="1BC5AA61" w14:textId="77777777" w:rsidR="00696B34" w:rsidRPr="00A55A51" w:rsidRDefault="00696B34" w:rsidP="00696B34">
      <w:pPr>
        <w:spacing w:after="120" w:line="360" w:lineRule="auto"/>
        <w:ind w:firstLine="547"/>
        <w:rPr>
          <w:rFonts w:cstheme="minorHAnsi"/>
        </w:rPr>
      </w:pPr>
    </w:p>
    <w:p w14:paraId="1206ECE9" w14:textId="77777777" w:rsidR="004B2C90" w:rsidRPr="00A55A51" w:rsidRDefault="004B2C90">
      <w:pPr>
        <w:rPr>
          <w:rFonts w:cstheme="minorHAnsi"/>
        </w:rPr>
      </w:pPr>
      <w:r w:rsidRPr="00A55A51">
        <w:rPr>
          <w:rFonts w:cstheme="minorHAnsi"/>
        </w:rPr>
        <w:br w:type="page"/>
      </w:r>
    </w:p>
    <w:bookmarkEnd w:id="9" w:displacedByCustomXml="next"/>
    <w:bookmarkEnd w:id="8" w:displacedByCustomXml="next"/>
    <w:bookmarkEnd w:id="7" w:displacedByCustomXml="next"/>
    <w:bookmarkEnd w:id="6" w:displacedByCustomXml="next"/>
    <w:bookmarkStart w:id="37" w:name="_Toc195126860" w:displacedByCustomXml="next"/>
    <w:sdt>
      <w:sdtPr>
        <w:rPr>
          <w:rFonts w:asciiTheme="minorHAnsi" w:eastAsiaTheme="minorEastAsia" w:hAnsiTheme="minorHAnsi" w:cstheme="minorHAnsi"/>
          <w:b w:val="0"/>
          <w:caps w:val="0"/>
          <w:color w:val="auto"/>
          <w:sz w:val="16"/>
        </w:rPr>
        <w:id w:val="-1789965516"/>
        <w:docPartObj>
          <w:docPartGallery w:val="Bibliographies"/>
          <w:docPartUnique/>
        </w:docPartObj>
      </w:sdtPr>
      <w:sdtContent>
        <w:p w14:paraId="7016B9FA" w14:textId="69366FD8" w:rsidR="00B957FF" w:rsidRPr="00A55A51" w:rsidRDefault="00B957FF" w:rsidP="00B957FF">
          <w:pPr>
            <w:pStyle w:val="NoteHeading"/>
            <w:rPr>
              <w:rFonts w:asciiTheme="minorHAnsi" w:hAnsiTheme="minorHAnsi" w:cstheme="minorHAnsi"/>
            </w:rPr>
          </w:pPr>
          <w:r w:rsidRPr="00A55A51">
            <w:rPr>
              <w:rFonts w:asciiTheme="minorHAnsi" w:hAnsiTheme="minorHAnsi" w:cstheme="minorHAnsi"/>
            </w:rPr>
            <w:t>References</w:t>
          </w:r>
        </w:p>
      </w:sdtContent>
    </w:sdt>
    <w:bookmarkEnd w:id="37" w:displacedByCustomXml="prev"/>
    <w:p w14:paraId="50DE3B11" w14:textId="77777777" w:rsidR="009E09FD" w:rsidRDefault="009E09FD" w:rsidP="009E09FD">
      <w:pPr>
        <w:spacing w:afterLines="40" w:after="96"/>
        <w:ind w:left="432" w:hanging="432"/>
      </w:pPr>
      <w:r>
        <w:t xml:space="preserve">Anderson, K. (1995), ‘Lobbying Incentives and the Pattern of Protection in Rich and Poor Countries’ </w:t>
      </w:r>
      <w:r>
        <w:rPr>
          <w:i/>
        </w:rPr>
        <w:t xml:space="preserve">Economic Development and Cultural Change </w:t>
      </w:r>
      <w:r>
        <w:t>43(2): 401-23.</w:t>
      </w:r>
    </w:p>
    <w:p w14:paraId="788CD5FC" w14:textId="77777777" w:rsidR="009E09FD" w:rsidRDefault="009E09FD" w:rsidP="009E09FD">
      <w:pPr>
        <w:spacing w:afterLines="40" w:after="96"/>
        <w:ind w:left="432" w:hanging="432"/>
      </w:pPr>
      <w:r>
        <w:t xml:space="preserve">Anderson, K., Kurzweil, M. Martin, W., Sandri, D. and Valenzuela, E. (2008), ‘Measuring distortions to agricultural incentives, revisited’ </w:t>
      </w:r>
      <w:r w:rsidRPr="00B27A12">
        <w:rPr>
          <w:i/>
          <w:iCs/>
        </w:rPr>
        <w:t>World Trade</w:t>
      </w:r>
      <w:r>
        <w:rPr>
          <w:i/>
          <w:iCs/>
        </w:rPr>
        <w:t xml:space="preserve"> </w:t>
      </w:r>
      <w:r w:rsidRPr="00B27A12">
        <w:rPr>
          <w:i/>
          <w:iCs/>
        </w:rPr>
        <w:t>Review</w:t>
      </w:r>
      <w:r>
        <w:t xml:space="preserve"> 7(3): 675-704. </w:t>
      </w:r>
    </w:p>
    <w:p w14:paraId="4DFA2A71" w14:textId="77777777" w:rsidR="009E09FD" w:rsidRDefault="009E09FD" w:rsidP="009E09FD">
      <w:pPr>
        <w:spacing w:afterLines="40" w:after="96"/>
        <w:ind w:left="432" w:hanging="432"/>
      </w:pPr>
      <w:r>
        <w:t xml:space="preserve">FAO (1973), Agricultural Protection: Domestic Policy and </w:t>
      </w:r>
      <w:proofErr w:type="spellStart"/>
      <w:r>
        <w:t>lnternational</w:t>
      </w:r>
      <w:proofErr w:type="spellEnd"/>
      <w:r>
        <w:t xml:space="preserve"> Trade (C/73/LIM/9), Rome </w:t>
      </w:r>
    </w:p>
    <w:p w14:paraId="113B21AC" w14:textId="77777777" w:rsidR="009E09FD" w:rsidRDefault="009E09FD" w:rsidP="009E09FD">
      <w:pPr>
        <w:spacing w:afterLines="40" w:after="96"/>
        <w:ind w:left="432" w:hanging="432"/>
      </w:pPr>
      <w:r>
        <w:t xml:space="preserve">FAO (2022). World Food Price Index. FAO, Rome. </w:t>
      </w:r>
      <w:r w:rsidRPr="006D39EE">
        <w:t>https://www.fao.org/worldfoodsituation/foodpricesindex/en/</w:t>
      </w:r>
    </w:p>
    <w:p w14:paraId="24877730" w14:textId="77777777" w:rsidR="009E09FD" w:rsidRDefault="009E09FD" w:rsidP="009E09FD">
      <w:pPr>
        <w:spacing w:afterLines="40" w:after="96"/>
        <w:ind w:left="432" w:hanging="432"/>
      </w:pPr>
      <w:r w:rsidRPr="00E04651">
        <w:t>Francois, J. F., and Martin</w:t>
      </w:r>
      <w:r>
        <w:t>, W</w:t>
      </w:r>
      <w:r w:rsidRPr="00E04651">
        <w:t xml:space="preserve">. </w:t>
      </w:r>
      <w:r>
        <w:t>(</w:t>
      </w:r>
      <w:r w:rsidRPr="00E04651">
        <w:t>2004</w:t>
      </w:r>
      <w:r>
        <w:t>)</w:t>
      </w:r>
      <w:r w:rsidRPr="00E04651">
        <w:t xml:space="preserve"> </w:t>
      </w:r>
      <w:r>
        <w:t>‘</w:t>
      </w:r>
      <w:r w:rsidRPr="00E04651">
        <w:t>Commercial Policy Variability, Bindings, and Market Access</w:t>
      </w:r>
      <w:r>
        <w:t>’</w:t>
      </w:r>
      <w:r w:rsidRPr="00E04651">
        <w:t xml:space="preserve"> </w:t>
      </w:r>
      <w:r w:rsidRPr="006D4194">
        <w:rPr>
          <w:i/>
          <w:iCs/>
        </w:rPr>
        <w:t>European Economic Review</w:t>
      </w:r>
      <w:r w:rsidRPr="00E04651">
        <w:t xml:space="preserve"> 48: 665–679.</w:t>
      </w:r>
    </w:p>
    <w:p w14:paraId="7BF42CA6" w14:textId="77777777" w:rsidR="009E09FD" w:rsidRDefault="009E09FD" w:rsidP="009E09FD">
      <w:pPr>
        <w:spacing w:afterLines="40" w:after="96"/>
        <w:ind w:left="432" w:hanging="432"/>
      </w:pPr>
      <w:r>
        <w:t>IDB-</w:t>
      </w:r>
      <w:proofErr w:type="spellStart"/>
      <w:r>
        <w:t>Agrimonitor</w:t>
      </w:r>
      <w:proofErr w:type="spellEnd"/>
      <w:r>
        <w:t xml:space="preserve"> (2016) </w:t>
      </w:r>
      <w:r w:rsidRPr="00980267">
        <w:t>PSE Agricultural Policy Monitoring System</w:t>
      </w:r>
      <w:r>
        <w:t>, &lt;</w:t>
      </w:r>
      <w:r w:rsidRPr="00980267">
        <w:t>http://www.iadb.org/en/topics/agriculture/agrimonitor/agrimonitor-pse-agricultural-policy-monitoring-system,8025.html</w:t>
      </w:r>
      <w:r>
        <w:t>&gt;, Inter-American Development Bank, Washington, DC.</w:t>
      </w:r>
    </w:p>
    <w:p w14:paraId="6161CFB1" w14:textId="77777777" w:rsidR="009E09FD" w:rsidRDefault="009E09FD" w:rsidP="009E09FD">
      <w:pPr>
        <w:spacing w:afterLines="40" w:after="96"/>
        <w:ind w:left="432" w:hanging="432"/>
      </w:pPr>
      <w:r>
        <w:t xml:space="preserve">Krueger A. O., Schiff M., Valdes A. (1988) Agricultural Incentives in Developing Countries: Measuring the Effect of Sectoral and Economywide Policies, </w:t>
      </w:r>
      <w:r w:rsidRPr="00CC0324">
        <w:rPr>
          <w:i/>
        </w:rPr>
        <w:t>T</w:t>
      </w:r>
      <w:r>
        <w:rPr>
          <w:i/>
        </w:rPr>
        <w:t xml:space="preserve">he World Bank Economic Review, </w:t>
      </w:r>
      <w:r>
        <w:t xml:space="preserve">2 (3), 255-271. </w:t>
      </w:r>
    </w:p>
    <w:p w14:paraId="0069AF04" w14:textId="77777777" w:rsidR="009E09FD" w:rsidRDefault="009E09FD" w:rsidP="009E09FD">
      <w:pPr>
        <w:spacing w:afterLines="40" w:after="96"/>
        <w:ind w:left="432" w:hanging="432"/>
      </w:pPr>
      <w:r>
        <w:t xml:space="preserve">MAFAP (2016) Monitoring and </w:t>
      </w:r>
      <w:proofErr w:type="spellStart"/>
      <w:r>
        <w:t>Analysing</w:t>
      </w:r>
      <w:proofErr w:type="spellEnd"/>
      <w:r>
        <w:t xml:space="preserve"> Food and Agricultural Policies, &lt;</w:t>
      </w:r>
      <w:r w:rsidRPr="00575C6D">
        <w:t xml:space="preserve"> http://www.fao.org/in-action/mafap/home/en/</w:t>
      </w:r>
      <w:r>
        <w:t xml:space="preserve">&gt; FAO, Rome.  </w:t>
      </w:r>
    </w:p>
    <w:p w14:paraId="716BEDA3" w14:textId="77777777" w:rsidR="009E09FD" w:rsidRDefault="009E09FD" w:rsidP="009E09FD">
      <w:pPr>
        <w:tabs>
          <w:tab w:val="left" w:pos="0"/>
          <w:tab w:val="left" w:pos="720"/>
          <w:tab w:val="left" w:pos="3600"/>
          <w:tab w:val="left" w:pos="7200"/>
          <w:tab w:val="left" w:pos="7920"/>
          <w:tab w:val="left" w:pos="8640"/>
          <w:tab w:val="left" w:pos="8928"/>
        </w:tabs>
        <w:spacing w:afterLines="40" w:after="96"/>
        <w:ind w:left="432" w:hanging="432"/>
      </w:pPr>
      <w:r>
        <w:t>Martin, W. and Minot, N. (2022), ‘</w:t>
      </w:r>
      <w:r w:rsidRPr="00305CE7">
        <w:t>The Impacts of Price Insulation on World Wheat Markets during the 2022 Food Price Crisis</w:t>
      </w:r>
      <w:r>
        <w:t xml:space="preserve">’ </w:t>
      </w:r>
      <w:r w:rsidRPr="00305CE7">
        <w:rPr>
          <w:i/>
          <w:iCs/>
        </w:rPr>
        <w:t>Australian Journal of Agricultural and Resource Economics</w:t>
      </w:r>
      <w:r>
        <w:t xml:space="preserve"> </w:t>
      </w:r>
      <w:r w:rsidRPr="002B5F2A">
        <w:t xml:space="preserve">66:753–774. </w:t>
      </w:r>
    </w:p>
    <w:p w14:paraId="54888777" w14:textId="77777777" w:rsidR="009E09FD" w:rsidRDefault="009E09FD" w:rsidP="009E09FD">
      <w:pPr>
        <w:tabs>
          <w:tab w:val="left" w:pos="0"/>
          <w:tab w:val="left" w:pos="720"/>
          <w:tab w:val="left" w:pos="3600"/>
          <w:tab w:val="left" w:pos="7200"/>
          <w:tab w:val="left" w:pos="7920"/>
          <w:tab w:val="left" w:pos="8640"/>
          <w:tab w:val="left" w:pos="8928"/>
        </w:tabs>
        <w:spacing w:afterLines="40" w:after="96"/>
        <w:ind w:left="432" w:hanging="432"/>
      </w:pPr>
      <w:r>
        <w:t>Martin, W., Mamun, A. and Minot, N. (2024), ‘Food Trade Policy and Food Price Volatility’ IFPRI Discussion Paper 02253, International Food Policy Research Institute, Washington DC .</w:t>
      </w:r>
    </w:p>
    <w:p w14:paraId="14C1D532" w14:textId="77777777" w:rsidR="009E09FD" w:rsidRDefault="009E09FD" w:rsidP="009E09FD">
      <w:pPr>
        <w:tabs>
          <w:tab w:val="left" w:pos="0"/>
          <w:tab w:val="left" w:pos="720"/>
          <w:tab w:val="left" w:pos="3600"/>
          <w:tab w:val="left" w:pos="7200"/>
          <w:tab w:val="left" w:pos="7920"/>
          <w:tab w:val="left" w:pos="8640"/>
          <w:tab w:val="left" w:pos="8928"/>
        </w:tabs>
        <w:spacing w:afterLines="40" w:after="96"/>
        <w:ind w:left="432" w:hanging="432"/>
      </w:pPr>
      <w:r>
        <w:t xml:space="preserve">Gautam, M., Laborde, D., Mamun, A., Martin, W., </w:t>
      </w:r>
      <w:r w:rsidRPr="00320F26">
        <w:t>Piñeiro</w:t>
      </w:r>
      <w:r>
        <w:t xml:space="preserve">, V., and Vos, R. (2022). Repurposing Agricultural Policies and Support: Options to Transform Agriculture and Food Systems to Better Serve the Health of People, Economies, and the Planet. The World Bank. Washington DC. </w:t>
      </w:r>
    </w:p>
    <w:p w14:paraId="6B1CA765" w14:textId="77777777" w:rsidR="009E09FD" w:rsidRDefault="009E09FD" w:rsidP="009E09FD">
      <w:pPr>
        <w:spacing w:afterLines="40" w:after="96"/>
        <w:ind w:left="432" w:hanging="432"/>
      </w:pPr>
      <w:r>
        <w:t xml:space="preserve">OECD (2016) OECD’s Producer Support Estimate and Related Measures of Agricultural Support: The PSE Manual, OECD, Paris. </w:t>
      </w:r>
      <w:r w:rsidRPr="00C92E19">
        <w:t>https://www.oecd.org/agriculture/topics/agricultural-policy-monitoring-and-evaluation/documents/producer-support-estimates-manual.pdf</w:t>
      </w:r>
    </w:p>
    <w:p w14:paraId="454EAB6D" w14:textId="77777777" w:rsidR="009E09FD" w:rsidRDefault="009E09FD" w:rsidP="009E09FD">
      <w:pPr>
        <w:spacing w:afterLines="40" w:after="96"/>
        <w:ind w:left="432" w:hanging="432"/>
      </w:pPr>
      <w:r>
        <w:t xml:space="preserve">OECD (2022) Agricultural Policy Monitoring and Evaluation 2022, OECD Publishing, Paris </w:t>
      </w:r>
      <w:hyperlink r:id="rId30" w:history="1">
        <w:r w:rsidRPr="00182D88">
          <w:rPr>
            <w:rStyle w:val="Hyperlink"/>
          </w:rPr>
          <w:t>https://www.oecd.org/publications/agricultural-policy-monitoring-and-evaluation-22217371.htm</w:t>
        </w:r>
      </w:hyperlink>
    </w:p>
    <w:p w14:paraId="167B6CB9" w14:textId="77777777" w:rsidR="00E07FE2" w:rsidRDefault="00E07FE2">
      <w:pPr>
        <w:rPr>
          <w:rFonts w:cstheme="minorHAnsi"/>
        </w:rPr>
      </w:pPr>
      <w:r>
        <w:rPr>
          <w:rFonts w:cstheme="minorHAnsi"/>
        </w:rPr>
        <w:br w:type="page"/>
      </w:r>
    </w:p>
    <w:p w14:paraId="716A046F" w14:textId="77777777" w:rsidR="00952CD3" w:rsidRDefault="00952CD3">
      <w:pPr>
        <w:rPr>
          <w:rFonts w:cstheme="minorHAnsi"/>
        </w:rPr>
      </w:pPr>
    </w:p>
    <w:p w14:paraId="580E0460" w14:textId="77777777" w:rsidR="00952CD3" w:rsidRDefault="00952CD3">
      <w:pPr>
        <w:rPr>
          <w:rFonts w:cstheme="minorHAnsi"/>
        </w:rPr>
      </w:pPr>
    </w:p>
    <w:p w14:paraId="7B0EDE6E" w14:textId="77777777" w:rsidR="00952CD3" w:rsidRDefault="00952CD3">
      <w:pPr>
        <w:rPr>
          <w:rFonts w:cstheme="minorHAnsi"/>
        </w:rPr>
      </w:pPr>
    </w:p>
    <w:p w14:paraId="0C064226" w14:textId="77777777" w:rsidR="00952CD3" w:rsidRDefault="00952CD3">
      <w:pPr>
        <w:rPr>
          <w:rFonts w:cstheme="minorHAnsi"/>
        </w:rPr>
      </w:pPr>
    </w:p>
    <w:p w14:paraId="7A1D36AD" w14:textId="77777777" w:rsidR="00952CD3" w:rsidRDefault="00952CD3">
      <w:pPr>
        <w:rPr>
          <w:rFonts w:cstheme="minorHAnsi"/>
        </w:rPr>
      </w:pPr>
    </w:p>
    <w:p w14:paraId="7C7314C7" w14:textId="77777777" w:rsidR="00952CD3" w:rsidRDefault="00952CD3">
      <w:pPr>
        <w:rPr>
          <w:rFonts w:cstheme="minorHAnsi"/>
        </w:rPr>
      </w:pPr>
    </w:p>
    <w:p w14:paraId="6C1B81EA" w14:textId="77777777" w:rsidR="00952CD3" w:rsidRDefault="00952CD3">
      <w:pPr>
        <w:rPr>
          <w:rFonts w:cstheme="minorHAnsi"/>
        </w:rPr>
      </w:pPr>
    </w:p>
    <w:p w14:paraId="0ABB9867" w14:textId="77777777" w:rsidR="00952CD3" w:rsidRDefault="00952CD3">
      <w:pPr>
        <w:rPr>
          <w:rFonts w:cstheme="minorHAnsi"/>
        </w:rPr>
      </w:pPr>
    </w:p>
    <w:p w14:paraId="76744F2B" w14:textId="77777777" w:rsidR="00952CD3" w:rsidRDefault="00952CD3">
      <w:pPr>
        <w:rPr>
          <w:rFonts w:cstheme="minorHAnsi"/>
        </w:rPr>
      </w:pPr>
    </w:p>
    <w:p w14:paraId="2628B312" w14:textId="77777777" w:rsidR="00952CD3" w:rsidRDefault="00952CD3">
      <w:pPr>
        <w:rPr>
          <w:rFonts w:cstheme="minorHAnsi"/>
        </w:rPr>
      </w:pPr>
    </w:p>
    <w:p w14:paraId="4C5A30C8" w14:textId="77777777" w:rsidR="00952CD3" w:rsidRDefault="00952CD3">
      <w:pPr>
        <w:rPr>
          <w:rFonts w:cstheme="minorHAnsi"/>
        </w:rPr>
      </w:pPr>
    </w:p>
    <w:p w14:paraId="2F10F42E" w14:textId="77777777" w:rsidR="00952CD3" w:rsidRDefault="00952CD3">
      <w:pPr>
        <w:rPr>
          <w:rFonts w:cstheme="minorHAnsi"/>
        </w:rPr>
      </w:pPr>
    </w:p>
    <w:p w14:paraId="63B08FFF" w14:textId="77777777" w:rsidR="00952CD3" w:rsidRDefault="00952CD3">
      <w:pPr>
        <w:rPr>
          <w:rFonts w:cstheme="minorHAnsi"/>
        </w:rPr>
      </w:pPr>
    </w:p>
    <w:p w14:paraId="07AA001E" w14:textId="77777777" w:rsidR="00952CD3" w:rsidRDefault="00952CD3">
      <w:pPr>
        <w:rPr>
          <w:rFonts w:cstheme="minorHAnsi"/>
        </w:rPr>
      </w:pPr>
    </w:p>
    <w:p w14:paraId="4E4519F2" w14:textId="0E1DD1CB" w:rsidR="00897F3D" w:rsidRPr="00B04EE1" w:rsidRDefault="00897F3D" w:rsidP="00897F3D">
      <w:pPr>
        <w:rPr>
          <w:rFonts w:cstheme="minorHAnsi"/>
          <w:sz w:val="20"/>
          <w:szCs w:val="20"/>
        </w:rPr>
      </w:pPr>
    </w:p>
    <w:p w14:paraId="2BA5695E" w14:textId="6106F8D2" w:rsidR="00B04EE1" w:rsidRDefault="00B04EE1" w:rsidP="00B04EE1">
      <w:pPr>
        <w:rPr>
          <w:rFonts w:cstheme="minorHAnsi"/>
        </w:rPr>
      </w:pPr>
      <w:r w:rsidRPr="00B04EE1">
        <w:rPr>
          <w:rFonts w:cstheme="minorHAnsi"/>
        </w:rPr>
        <w:t>The AgIncentives Consortium brings together data on agricultural protection—and taxation—for cou</w:t>
      </w:r>
      <w:r w:rsidR="00167440">
        <w:rPr>
          <w:rFonts w:cstheme="minorHAnsi"/>
        </w:rPr>
        <w:t>n</w:t>
      </w:r>
      <w:r w:rsidRPr="00B04EE1">
        <w:rPr>
          <w:rFonts w:cstheme="minorHAnsi"/>
        </w:rPr>
        <w:t>tries accounting for 90% of global agricultural output. Policies directly affect incentives that farmers benefit from or face and affect not only the countries using these measures but also the level and volatility of world prices of food and agricultural products. Before the impacts of these policies can be understood, they must be carefully measured and presented on a comparable basis. By working together, our team of five</w:t>
      </w:r>
      <w:r>
        <w:rPr>
          <w:rFonts w:cstheme="minorHAnsi"/>
        </w:rPr>
        <w:t xml:space="preserve"> </w:t>
      </w:r>
      <w:r w:rsidRPr="00B04EE1">
        <w:rPr>
          <w:rFonts w:cstheme="minorHAnsi"/>
        </w:rPr>
        <w:t>member international organizations provide unprecedented coverage of these vitally important measures. The AgIncentives website allows users to visually compare data on almost 90 countries and 70 products over 14 years. Download data to perform your own analyses.</w:t>
      </w:r>
    </w:p>
    <w:p w14:paraId="6E29B4A5" w14:textId="77777777" w:rsidR="00167440" w:rsidRPr="00B04EE1" w:rsidRDefault="00167440" w:rsidP="00B04EE1">
      <w:pPr>
        <w:rPr>
          <w:rFonts w:cstheme="minorHAnsi"/>
        </w:rPr>
      </w:pPr>
    </w:p>
    <w:p w14:paraId="34909650" w14:textId="252738ED" w:rsidR="004E4EF7" w:rsidRPr="004E4EF7" w:rsidRDefault="004E4EF7" w:rsidP="004E4EF7">
      <w:pPr>
        <w:rPr>
          <w:rFonts w:cstheme="minorHAnsi"/>
        </w:rPr>
      </w:pPr>
      <w:r w:rsidRPr="004E4EF7">
        <w:rPr>
          <w:rFonts w:cstheme="minorHAnsi"/>
          <w:noProof/>
        </w:rPr>
        <w:drawing>
          <wp:inline distT="0" distB="0" distL="0" distR="0" wp14:anchorId="7EE50F80" wp14:editId="70AA8601">
            <wp:extent cx="1224951" cy="629146"/>
            <wp:effectExtent l="0" t="0" r="0" b="0"/>
            <wp:docPr id="2116437999" name="Picture 43"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37999" name="Picture 43" descr="Blue text on a white background&#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9752" cy="641884"/>
                    </a:xfrm>
                    <a:prstGeom prst="rect">
                      <a:avLst/>
                    </a:prstGeom>
                    <a:noFill/>
                    <a:ln>
                      <a:noFill/>
                    </a:ln>
                  </pic:spPr>
                </pic:pic>
              </a:graphicData>
            </a:graphic>
          </wp:inline>
        </w:drawing>
      </w:r>
      <w:r w:rsidR="00952CD3" w:rsidRPr="006F35F3">
        <w:rPr>
          <w:rFonts w:cstheme="minorHAnsi"/>
          <w:noProof/>
        </w:rPr>
        <w:drawing>
          <wp:inline distT="0" distB="0" distL="0" distR="0" wp14:anchorId="5C27AA6F" wp14:editId="69DA38CE">
            <wp:extent cx="1199071" cy="646244"/>
            <wp:effectExtent l="0" t="0" r="1270" b="1905"/>
            <wp:docPr id="111424681" name="Picture 45"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4681" name="Picture 45" descr="A logo with a black background&#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15841" cy="655282"/>
                    </a:xfrm>
                    <a:prstGeom prst="rect">
                      <a:avLst/>
                    </a:prstGeom>
                    <a:noFill/>
                    <a:ln>
                      <a:noFill/>
                    </a:ln>
                  </pic:spPr>
                </pic:pic>
              </a:graphicData>
            </a:graphic>
          </wp:inline>
        </w:drawing>
      </w:r>
      <w:r w:rsidR="00952CD3" w:rsidRPr="00824B50">
        <w:rPr>
          <w:rFonts w:cstheme="minorHAnsi"/>
          <w:noProof/>
        </w:rPr>
        <w:drawing>
          <wp:inline distT="0" distB="0" distL="0" distR="0" wp14:anchorId="73F85F18" wp14:editId="5A62EDF9">
            <wp:extent cx="1285336" cy="698261"/>
            <wp:effectExtent l="0" t="0" r="0" b="6985"/>
            <wp:docPr id="289878450" name="Picture 51" descr="A gree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8450" name="Picture 51" descr="A green sign with white tex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97103" cy="704654"/>
                    </a:xfrm>
                    <a:prstGeom prst="rect">
                      <a:avLst/>
                    </a:prstGeom>
                    <a:noFill/>
                    <a:ln>
                      <a:noFill/>
                    </a:ln>
                  </pic:spPr>
                </pic:pic>
              </a:graphicData>
            </a:graphic>
          </wp:inline>
        </w:drawing>
      </w:r>
      <w:r w:rsidR="00952CD3" w:rsidRPr="00F0508B">
        <w:rPr>
          <w:rFonts w:cstheme="minorHAnsi"/>
          <w:noProof/>
        </w:rPr>
        <w:drawing>
          <wp:inline distT="0" distB="0" distL="0" distR="0" wp14:anchorId="75B0C491" wp14:editId="0D46766B">
            <wp:extent cx="1268083" cy="697865"/>
            <wp:effectExtent l="0" t="0" r="8890" b="0"/>
            <wp:docPr id="1232563899" name="Picture 47"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63899" name="Picture 47" descr="A black and grey logo&#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83338" cy="706261"/>
                    </a:xfrm>
                    <a:prstGeom prst="rect">
                      <a:avLst/>
                    </a:prstGeom>
                    <a:noFill/>
                    <a:ln>
                      <a:noFill/>
                    </a:ln>
                  </pic:spPr>
                </pic:pic>
              </a:graphicData>
            </a:graphic>
          </wp:inline>
        </w:drawing>
      </w:r>
      <w:r w:rsidR="00952CD3" w:rsidRPr="00F0508B">
        <w:rPr>
          <w:rFonts w:cstheme="minorHAnsi"/>
          <w:noProof/>
        </w:rPr>
        <w:drawing>
          <wp:inline distT="0" distB="0" distL="0" distR="0" wp14:anchorId="6CBFB543" wp14:editId="759CDD45">
            <wp:extent cx="1095555" cy="611505"/>
            <wp:effectExtent l="0" t="0" r="9525" b="0"/>
            <wp:docPr id="2028234216" name="Picture 49"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34216" name="Picture 49" descr="A close-up of a logo&#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4586" cy="622128"/>
                    </a:xfrm>
                    <a:prstGeom prst="rect">
                      <a:avLst/>
                    </a:prstGeom>
                    <a:noFill/>
                    <a:ln>
                      <a:noFill/>
                    </a:ln>
                  </pic:spPr>
                </pic:pic>
              </a:graphicData>
            </a:graphic>
          </wp:inline>
        </w:drawing>
      </w:r>
    </w:p>
    <w:p w14:paraId="631A9F64" w14:textId="67F754C1" w:rsidR="00EF6905" w:rsidRPr="00A55A51" w:rsidRDefault="00541970" w:rsidP="00D44394">
      <w:pPr>
        <w:rPr>
          <w:rFonts w:cstheme="minorHAnsi"/>
        </w:rPr>
      </w:pPr>
      <w:r w:rsidRPr="00A55A51">
        <w:rPr>
          <w:rFonts w:cstheme="minorHAnsi"/>
          <w:noProof/>
        </w:rPr>
        <mc:AlternateContent>
          <mc:Choice Requires="wps">
            <w:drawing>
              <wp:anchor distT="0" distB="0" distL="114300" distR="114300" simplePos="0" relativeHeight="251666432" behindDoc="0" locked="0" layoutInCell="1" allowOverlap="0" wp14:anchorId="52BD72E0" wp14:editId="48ECDDC1">
                <wp:simplePos x="0" y="0"/>
                <wp:positionH relativeFrom="page">
                  <wp:align>left</wp:align>
                </wp:positionH>
                <wp:positionV relativeFrom="page">
                  <wp:align>bottom</wp:align>
                </wp:positionV>
                <wp:extent cx="7772400" cy="1719072"/>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7772400" cy="1719072"/>
                        </a:xfrm>
                        <a:prstGeom prst="rect">
                          <a:avLst/>
                        </a:prstGeom>
                        <a:gradFill flip="none" rotWithShape="1">
                          <a:gsLst>
                            <a:gs pos="0">
                              <a:schemeClr val="bg2"/>
                            </a:gs>
                            <a:gs pos="84000">
                              <a:schemeClr val="tx2"/>
                            </a:gs>
                          </a:gsLst>
                          <a:path path="circle">
                            <a:fillToRect r="100000" b="100000"/>
                          </a:path>
                          <a:tileRect l="-100000" t="-100000"/>
                        </a:gradFill>
                        <a:ln w="6350">
                          <a:noFill/>
                        </a:ln>
                      </wps:spPr>
                      <wps:txbx>
                        <w:txbxContent>
                          <w:p w14:paraId="3278B095" w14:textId="77777777" w:rsidR="001D37DC" w:rsidRDefault="001D37DC" w:rsidP="00CF4096">
                            <w:pPr>
                              <w:pStyle w:val="Boilerplate"/>
                              <w:spacing w:before="0" w:line="240" w:lineRule="auto"/>
                              <w:rPr>
                                <w:i/>
                                <w:sz w:val="22"/>
                              </w:rPr>
                            </w:pPr>
                            <w:r w:rsidRPr="00AB240B">
                              <w:rPr>
                                <w:b/>
                                <w:caps/>
                                <w:sz w:val="22"/>
                              </w:rPr>
                              <w:t>International Food Policy Research Institute</w:t>
                            </w:r>
                          </w:p>
                          <w:p w14:paraId="5B1B223D" w14:textId="77777777" w:rsidR="001D37DC" w:rsidRPr="007E5F56" w:rsidRDefault="001D37DC" w:rsidP="004403AF">
                            <w:pPr>
                              <w:pStyle w:val="Boilerplate"/>
                              <w:spacing w:before="20" w:line="240" w:lineRule="auto"/>
                              <w:rPr>
                                <w:i/>
                                <w:sz w:val="18"/>
                                <w:szCs w:val="18"/>
                              </w:rPr>
                            </w:pPr>
                            <w:r w:rsidRPr="007E5F56">
                              <w:rPr>
                                <w:i/>
                                <w:sz w:val="18"/>
                                <w:szCs w:val="18"/>
                              </w:rPr>
                              <w:t>A world free of hunger and malnutrition</w:t>
                            </w:r>
                          </w:p>
                          <w:p w14:paraId="3AFD5D65" w14:textId="77777777" w:rsidR="001D37DC" w:rsidRPr="007E5F56" w:rsidRDefault="001D37DC" w:rsidP="004403AF">
                            <w:pPr>
                              <w:pStyle w:val="Boilerplate"/>
                              <w:spacing w:after="180" w:line="240" w:lineRule="auto"/>
                              <w:rPr>
                                <w:b/>
                                <w:bCs/>
                                <w:sz w:val="18"/>
                                <w:szCs w:val="18"/>
                              </w:rPr>
                            </w:pPr>
                            <w:r w:rsidRPr="007E5F56">
                              <w:rPr>
                                <w:b/>
                                <w:bCs/>
                                <w:sz w:val="18"/>
                                <w:szCs w:val="18"/>
                              </w:rPr>
                              <w:t>IFPRI is a CGIAR Research Center</w:t>
                            </w:r>
                          </w:p>
                          <w:p w14:paraId="24F4C05D" w14:textId="77777777" w:rsidR="001D37DC" w:rsidRPr="00C13059" w:rsidRDefault="001D37DC" w:rsidP="00541970">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36" w:history="1">
                              <w:r w:rsidRPr="00457679">
                                <w:t>ifpri@cgiar.org</w:t>
                              </w:r>
                            </w:hyperlink>
                            <w:r w:rsidRPr="00C13059">
                              <w:t> </w:t>
                            </w:r>
                            <w:r w:rsidRPr="00C13059">
                              <w:t>|</w:t>
                            </w:r>
                            <w:r w:rsidRPr="00C13059">
                              <w:t> </w:t>
                            </w:r>
                            <w:hyperlink r:id="rId37" w:history="1">
                              <w:r w:rsidRPr="002C70FF">
                                <w:t>www.ifpri.org</w:t>
                              </w:r>
                            </w:hyperlink>
                            <w:r w:rsidRPr="00C13059">
                              <w:t> </w:t>
                            </w:r>
                            <w:r w:rsidRPr="00C13059">
                              <w:t>|</w:t>
                            </w:r>
                            <w:r w:rsidRPr="00C13059">
                              <w:t> </w:t>
                            </w:r>
                            <w:hyperlink r:id="rId38" w:history="1">
                              <w:r w:rsidRPr="002C70FF">
                                <w:t>www.ifpri.info</w:t>
                              </w:r>
                            </w:hyperlink>
                          </w:p>
                          <w:p w14:paraId="5C846D00" w14:textId="4DA6B7A6" w:rsidR="001D37DC" w:rsidRPr="00C13059" w:rsidRDefault="001D37DC" w:rsidP="005774C0">
                            <w:pPr>
                              <w:pStyle w:val="Boilerplate"/>
                            </w:pPr>
                            <w:r w:rsidRPr="00C13059">
                              <w:t xml:space="preserve">© </w:t>
                            </w:r>
                            <w:r>
                              <w:fldChar w:fldCharType="begin"/>
                            </w:r>
                            <w:r>
                              <w:instrText xml:space="preserve"> DATE  \@ "yyyy"  \* MERGEFORMAT </w:instrText>
                            </w:r>
                            <w:r>
                              <w:fldChar w:fldCharType="separate"/>
                            </w:r>
                            <w:r w:rsidR="0030565E">
                              <w:rPr>
                                <w:noProof/>
                              </w:rPr>
                              <w:t>2025</w:t>
                            </w:r>
                            <w:r>
                              <w:fldChar w:fldCharType="end"/>
                            </w:r>
                            <w:r w:rsidRPr="00C33FEA">
                              <w:rPr>
                                <w:rFonts w:cs="Arial"/>
                              </w:rPr>
                              <w:t>, copyright remains with the authors. All rights reserved.</w:t>
                            </w:r>
                          </w:p>
                        </w:txbxContent>
                      </wps:txbx>
                      <wps:bodyPr rot="0" spcFirstLastPara="0" vertOverflow="overflow" horzOverflow="overflow" vert="horz" wrap="square" lIns="347472" tIns="228600" rIns="347472" bIns="0" numCol="1" spcCol="0" rtlCol="0" fromWordArt="0" anchor="t"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52BD72E0" id="Text Box 194" o:spid="_x0000_s1028" type="#_x0000_t202" style="position:absolute;margin-left:0;margin-top:0;width:612pt;height:135.35pt;z-index:251666432;visibility:visible;mso-wrap-style:square;mso-width-percent:1000;mso-height-percent:0;mso-wrap-distance-left:9pt;mso-wrap-distance-top:0;mso-wrap-distance-right:9pt;mso-wrap-distance-bottom:0;mso-position-horizontal:left;mso-position-horizontal-relative:page;mso-position-vertical:bottom;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" o:allowoverlap="f" fillcolor="#c4d82e [3214]" stroked="f" strokeweight=".5pt">
                <v:fill color2="#62bb46 [3215]" rotate="t" colors="0 #c4d82e;55050f #62bb46" focus="100%" type="gradientRadial"/>
                <v:textbox inset="27.36pt,18pt,27.36pt,0">
                  <w:txbxContent>
                    <w:p w14:paraId="3278B095" w14:textId="77777777" w:rsidR="001D37DC" w:rsidRDefault="001D37DC" w:rsidP="00CF4096">
                      <w:pPr>
                        <w:pStyle w:val="Boilerplate"/>
                        <w:spacing w:before="0" w:line="240" w:lineRule="auto"/>
                        <w:rPr>
                          <w:i/>
                          <w:sz w:val="22"/>
                        </w:rPr>
                      </w:pPr>
                      <w:r w:rsidRPr="00AB240B">
                        <w:rPr>
                          <w:b/>
                          <w:caps/>
                          <w:sz w:val="22"/>
                        </w:rPr>
                        <w:t>International Food Policy Research Institute</w:t>
                      </w:r>
                    </w:p>
                    <w:p w14:paraId="5B1B223D" w14:textId="77777777" w:rsidR="001D37DC" w:rsidRPr="007E5F56" w:rsidRDefault="001D37DC" w:rsidP="004403AF">
                      <w:pPr>
                        <w:pStyle w:val="Boilerplate"/>
                        <w:spacing w:before="20" w:line="240" w:lineRule="auto"/>
                        <w:rPr>
                          <w:i/>
                          <w:sz w:val="18"/>
                          <w:szCs w:val="18"/>
                        </w:rPr>
                      </w:pPr>
                      <w:r w:rsidRPr="007E5F56">
                        <w:rPr>
                          <w:i/>
                          <w:sz w:val="18"/>
                          <w:szCs w:val="18"/>
                        </w:rPr>
                        <w:t>A world free of hunger and malnutrition</w:t>
                      </w:r>
                    </w:p>
                    <w:p w14:paraId="3AFD5D65" w14:textId="77777777" w:rsidR="001D37DC" w:rsidRPr="007E5F56" w:rsidRDefault="001D37DC" w:rsidP="004403AF">
                      <w:pPr>
                        <w:pStyle w:val="Boilerplate"/>
                        <w:spacing w:after="180" w:line="240" w:lineRule="auto"/>
                        <w:rPr>
                          <w:b/>
                          <w:bCs/>
                          <w:sz w:val="18"/>
                          <w:szCs w:val="18"/>
                        </w:rPr>
                      </w:pPr>
                      <w:r w:rsidRPr="007E5F56">
                        <w:rPr>
                          <w:b/>
                          <w:bCs/>
                          <w:sz w:val="18"/>
                          <w:szCs w:val="18"/>
                        </w:rPr>
                        <w:t>IFPRI is a CGIAR Research Center</w:t>
                      </w:r>
                    </w:p>
                    <w:p w14:paraId="24F4C05D" w14:textId="77777777" w:rsidR="001D37DC" w:rsidRPr="00C13059" w:rsidRDefault="001D37DC" w:rsidP="00541970">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39" w:history="1">
                        <w:r w:rsidRPr="00457679">
                          <w:t>ifpri@cgiar.org</w:t>
                        </w:r>
                      </w:hyperlink>
                      <w:r w:rsidRPr="00C13059">
                        <w:t> </w:t>
                      </w:r>
                      <w:r w:rsidRPr="00C13059">
                        <w:t>|</w:t>
                      </w:r>
                      <w:r w:rsidRPr="00C13059">
                        <w:t> </w:t>
                      </w:r>
                      <w:hyperlink r:id="rId40" w:history="1">
                        <w:r w:rsidRPr="002C70FF">
                          <w:t>www.ifpri.org</w:t>
                        </w:r>
                      </w:hyperlink>
                      <w:r w:rsidRPr="00C13059">
                        <w:t> </w:t>
                      </w:r>
                      <w:r w:rsidRPr="00C13059">
                        <w:t>|</w:t>
                      </w:r>
                      <w:r w:rsidRPr="00C13059">
                        <w:t> </w:t>
                      </w:r>
                      <w:hyperlink r:id="rId41" w:history="1">
                        <w:r w:rsidRPr="002C70FF">
                          <w:t>www.ifpri.info</w:t>
                        </w:r>
                      </w:hyperlink>
                    </w:p>
                    <w:p w14:paraId="5C846D00" w14:textId="4DA6B7A6" w:rsidR="001D37DC" w:rsidRPr="00C13059" w:rsidRDefault="001D37DC" w:rsidP="005774C0">
                      <w:pPr>
                        <w:pStyle w:val="Boilerplate"/>
                      </w:pPr>
                      <w:r w:rsidRPr="00C13059">
                        <w:t xml:space="preserve">© </w:t>
                      </w:r>
                      <w:r>
                        <w:fldChar w:fldCharType="begin"/>
                      </w:r>
                      <w:r>
                        <w:instrText xml:space="preserve"> DATE  \@ "yyyy"  \* MERGEFORMAT </w:instrText>
                      </w:r>
                      <w:r>
                        <w:fldChar w:fldCharType="separate"/>
                      </w:r>
                      <w:r w:rsidR="0030565E">
                        <w:rPr>
                          <w:noProof/>
                        </w:rPr>
                        <w:t>2025</w:t>
                      </w:r>
                      <w:r>
                        <w:fldChar w:fldCharType="end"/>
                      </w:r>
                      <w:r w:rsidRPr="00C33FEA">
                        <w:rPr>
                          <w:rFonts w:cs="Arial"/>
                        </w:rPr>
                        <w:t>, copyright remains with the authors. All rights reserved.</w:t>
                      </w:r>
                    </w:p>
                  </w:txbxContent>
                </v:textbox>
                <w10:wrap type="topAndBottom" anchorx="page" anchory="page"/>
              </v:shape>
            </w:pict>
          </mc:Fallback>
        </mc:AlternateContent>
      </w:r>
      <w:bookmarkEnd w:id="0"/>
    </w:p>
    <w:sectPr w:rsidR="00EF6905" w:rsidRPr="00A55A51" w:rsidSect="00CE36C3">
      <w:footerReference w:type="default" r:id="rId42"/>
      <w:footerReference w:type="first" r:id="rId43"/>
      <w:endnotePr>
        <w:numFmt w:val="decimal"/>
      </w:endnotePr>
      <w:type w:val="continuous"/>
      <w:pgSz w:w="12240" w:h="15840"/>
      <w:pgMar w:top="1080" w:right="1080" w:bottom="1080" w:left="1080" w:header="446" w:footer="547"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FFD43" w14:textId="77777777" w:rsidR="00DB65EE" w:rsidRPr="00A35E82" w:rsidRDefault="00DB65EE" w:rsidP="00A35E82">
      <w:pPr>
        <w:pStyle w:val="Footer"/>
        <w:spacing w:line="14" w:lineRule="exact"/>
      </w:pPr>
    </w:p>
  </w:endnote>
  <w:endnote w:type="continuationSeparator" w:id="0">
    <w:p w14:paraId="3D5040DC" w14:textId="77777777" w:rsidR="00DB65EE" w:rsidRPr="00EF6905" w:rsidRDefault="00DB65EE" w:rsidP="00EF6905">
      <w:pPr>
        <w:pStyle w:val="Footer"/>
      </w:pPr>
    </w:p>
  </w:endnote>
  <w:endnote w:type="continuationNotice" w:id="1">
    <w:p w14:paraId="6B50B4EC" w14:textId="77777777" w:rsidR="00DB65EE" w:rsidRPr="00EF6905" w:rsidRDefault="00DB65EE" w:rsidP="00EF690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9539E" w14:textId="77777777" w:rsidR="001D37DC" w:rsidRPr="0022063D" w:rsidRDefault="00000000" w:rsidP="0022063D">
    <w:pPr>
      <w:pStyle w:val="Footer"/>
    </w:pPr>
    <w:sdt>
      <w:sdtPr>
        <w:id w:val="-832766670"/>
        <w:docPartObj>
          <w:docPartGallery w:val="Page Numbers (Bottom of Page)"/>
          <w:docPartUnique/>
        </w:docPartObj>
      </w:sdtPr>
      <w:sdtContent>
        <w:r w:rsidR="001D37DC" w:rsidRPr="008955AA">
          <w:fldChar w:fldCharType="begin"/>
        </w:r>
        <w:r w:rsidR="001D37DC" w:rsidRPr="008955AA">
          <w:instrText xml:space="preserve"> PAGE   \* MERGEFORMAT </w:instrText>
        </w:r>
        <w:r w:rsidR="001D37DC" w:rsidRPr="008955AA">
          <w:fldChar w:fldCharType="separate"/>
        </w:r>
        <w:r w:rsidR="001D37DC" w:rsidRPr="008955AA">
          <w:t>2</w:t>
        </w:r>
        <w:r w:rsidR="001D37DC" w:rsidRPr="008955AA">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2C74E" w14:textId="77777777" w:rsidR="001D37DC" w:rsidRDefault="001D3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B269D" w14:textId="77777777" w:rsidR="00DB65EE" w:rsidRPr="00BF1BBC" w:rsidRDefault="00DB65EE" w:rsidP="00BF1BBC">
      <w:pPr>
        <w:pStyle w:val="Footer"/>
      </w:pPr>
      <w:r>
        <w:pict w14:anchorId="04A38B6B">
          <v:rect id="_x0000_i1025" style="width:7in;height:1pt" o:hralign="center" o:hrstd="t" o:hrnoshade="t" o:hr="t" fillcolor="#3d5567 [3209]" stroked="f"/>
        </w:pict>
      </w:r>
    </w:p>
  </w:footnote>
  <w:footnote w:type="continuationSeparator" w:id="0">
    <w:p w14:paraId="14C6977F" w14:textId="77777777" w:rsidR="00DB65EE" w:rsidRPr="008B3AC0" w:rsidRDefault="00DB65EE" w:rsidP="008B3AC0">
      <w:pPr>
        <w:pStyle w:val="Footer"/>
      </w:pPr>
      <w:r>
        <w:pict w14:anchorId="11283535">
          <v:rect id="_x0000_i1026" style="width:7in;height:1pt" o:hralign="center" o:hrstd="t" o:hrnoshade="t" o:hr="t" fillcolor="#3d5567 [3209]" stroked="f"/>
        </w:pict>
      </w:r>
    </w:p>
  </w:footnote>
  <w:footnote w:type="continuationNotice" w:id="1">
    <w:p w14:paraId="45D9E869" w14:textId="77777777" w:rsidR="00DB65EE" w:rsidRPr="008B3AC0" w:rsidRDefault="00DB65EE" w:rsidP="008B3AC0">
      <w:pPr>
        <w:pStyle w:val="Footer"/>
      </w:pPr>
    </w:p>
  </w:footnote>
  <w:footnote w:id="2">
    <w:p w14:paraId="7E242BB4" w14:textId="77777777" w:rsidR="00696B34" w:rsidRPr="00AD2C5D" w:rsidRDefault="00696B34" w:rsidP="00696B34">
      <w:pPr>
        <w:pStyle w:val="FootnoteText"/>
      </w:pPr>
      <w:r>
        <w:rPr>
          <w:rStyle w:val="FootnoteReference"/>
        </w:rPr>
        <w:footnoteRef/>
      </w:r>
      <w:r>
        <w:t xml:space="preserve"> As explained above, the prices of non-MPS commodities are not available or non-studied, and we assume that the rate of policy transfers is the same asfor the MPS commodities.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7DCC"/>
    <w:multiLevelType w:val="hybridMultilevel"/>
    <w:tmpl w:val="B5AE8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361DC3"/>
    <w:multiLevelType w:val="hybridMultilevel"/>
    <w:tmpl w:val="EC4E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D6D94"/>
    <w:multiLevelType w:val="multilevel"/>
    <w:tmpl w:val="B86805BC"/>
    <w:lvl w:ilvl="0">
      <w:start w:val="1"/>
      <w:numFmt w:val="bullet"/>
      <w:pStyle w:val="ListBullet"/>
      <w:lvlText w:val=""/>
      <w:lvlJc w:val="left"/>
      <w:pPr>
        <w:ind w:left="360" w:hanging="360"/>
      </w:pPr>
      <w:rPr>
        <w:rFonts w:ascii="Wingdings 3" w:hAnsi="Wingdings 3" w:hint="default"/>
        <w:color w:val="62BB46" w:themeColor="text2"/>
      </w:rPr>
    </w:lvl>
    <w:lvl w:ilvl="1">
      <w:start w:val="1"/>
      <w:numFmt w:val="bullet"/>
      <w:pStyle w:val="ListBullet2"/>
      <w:lvlText w:val=""/>
      <w:lvlJc w:val="left"/>
      <w:pPr>
        <w:ind w:left="720" w:hanging="360"/>
      </w:pPr>
      <w:rPr>
        <w:rFonts w:ascii="Wingdings 3" w:hAnsi="Wingdings 3" w:hint="default"/>
        <w:color w:val="62BB46" w:themeColor="text2"/>
      </w:rPr>
    </w:lvl>
    <w:lvl w:ilvl="2">
      <w:start w:val="1"/>
      <w:numFmt w:val="bullet"/>
      <w:pStyle w:val="ListBullet3"/>
      <w:lvlText w:val=""/>
      <w:lvlJc w:val="left"/>
      <w:pPr>
        <w:ind w:left="1080" w:hanging="360"/>
      </w:pPr>
      <w:rPr>
        <w:rFonts w:ascii="Wingdings" w:hAnsi="Wingdings" w:hint="default"/>
        <w:color w:val="auto"/>
      </w:rPr>
    </w:lvl>
    <w:lvl w:ilvl="3">
      <w:start w:val="1"/>
      <w:numFmt w:val="bullet"/>
      <w:pStyle w:val="ListBullet4"/>
      <w:lvlText w:val=""/>
      <w:lvlJc w:val="left"/>
      <w:pPr>
        <w:ind w:left="1440" w:hanging="360"/>
      </w:pPr>
      <w:rPr>
        <w:rFonts w:ascii="Symbol" w:hAnsi="Symbol" w:hint="default"/>
        <w:color w:val="auto"/>
      </w:rPr>
    </w:lvl>
    <w:lvl w:ilvl="4">
      <w:start w:val="1"/>
      <w:numFmt w:val="bullet"/>
      <w:pStyle w:val="ListBullet5"/>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5AB407A5"/>
    <w:multiLevelType w:val="multilevel"/>
    <w:tmpl w:val="1F6CBDF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19788958">
    <w:abstractNumId w:val="2"/>
  </w:num>
  <w:num w:numId="2" w16cid:durableId="1999187875">
    <w:abstractNumId w:val="3"/>
  </w:num>
  <w:num w:numId="3" w16cid:durableId="1327320718">
    <w:abstractNumId w:val="1"/>
  </w:num>
  <w:num w:numId="4" w16cid:durableId="196392317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stylePaneSortMethod w:val="0000"/>
  <w:defaultTabStop w:val="360"/>
  <w:autoHyphenation/>
  <w:doNotHyphenateCaps/>
  <w:drawingGridHorizontalSpacing w:val="120"/>
  <w:displayHorizontalDrawingGridEvery w:val="2"/>
  <w:characterSpacingControl w:val="doNotCompress"/>
  <w:hdrShapeDefaults>
    <o:shapedefaults v:ext="edit" spidmax="2050"/>
  </w:hdrShapeDefaults>
  <w:footnotePr>
    <w:footnote w:id="-1"/>
    <w:footnote w:id="0"/>
    <w:footnote w:id="1"/>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NzAyMzE1MwcSpko6SsGpxcWZ+XkgBUa1AGK1Qo8sAAAA"/>
  </w:docVars>
  <w:rsids>
    <w:rsidRoot w:val="00EE34B1"/>
    <w:rsid w:val="00000102"/>
    <w:rsid w:val="00003D7E"/>
    <w:rsid w:val="000067EC"/>
    <w:rsid w:val="00006959"/>
    <w:rsid w:val="000121C7"/>
    <w:rsid w:val="00012E45"/>
    <w:rsid w:val="00013459"/>
    <w:rsid w:val="00013DF0"/>
    <w:rsid w:val="0001537B"/>
    <w:rsid w:val="00016302"/>
    <w:rsid w:val="00016522"/>
    <w:rsid w:val="00017C96"/>
    <w:rsid w:val="00021B86"/>
    <w:rsid w:val="000226A5"/>
    <w:rsid w:val="00022A6E"/>
    <w:rsid w:val="00022CDA"/>
    <w:rsid w:val="00023655"/>
    <w:rsid w:val="00025CE3"/>
    <w:rsid w:val="00026B12"/>
    <w:rsid w:val="00027137"/>
    <w:rsid w:val="00027C1F"/>
    <w:rsid w:val="00027E84"/>
    <w:rsid w:val="00031BBB"/>
    <w:rsid w:val="00031BC8"/>
    <w:rsid w:val="000326BE"/>
    <w:rsid w:val="0003448F"/>
    <w:rsid w:val="00034E4C"/>
    <w:rsid w:val="00035B33"/>
    <w:rsid w:val="0003607C"/>
    <w:rsid w:val="000365C4"/>
    <w:rsid w:val="0003673E"/>
    <w:rsid w:val="000368E1"/>
    <w:rsid w:val="00036E2E"/>
    <w:rsid w:val="0004062C"/>
    <w:rsid w:val="000410D8"/>
    <w:rsid w:val="0004274B"/>
    <w:rsid w:val="00042A4B"/>
    <w:rsid w:val="00045EF5"/>
    <w:rsid w:val="000467D0"/>
    <w:rsid w:val="00046A2F"/>
    <w:rsid w:val="000516E2"/>
    <w:rsid w:val="00051FE7"/>
    <w:rsid w:val="00053A1D"/>
    <w:rsid w:val="00053DC9"/>
    <w:rsid w:val="00054EE6"/>
    <w:rsid w:val="00055D6A"/>
    <w:rsid w:val="00055FD3"/>
    <w:rsid w:val="00057619"/>
    <w:rsid w:val="00060F6C"/>
    <w:rsid w:val="00061758"/>
    <w:rsid w:val="00063ABC"/>
    <w:rsid w:val="00063DC7"/>
    <w:rsid w:val="00065E05"/>
    <w:rsid w:val="00066BBE"/>
    <w:rsid w:val="00070384"/>
    <w:rsid w:val="0007057E"/>
    <w:rsid w:val="00070767"/>
    <w:rsid w:val="00074C3A"/>
    <w:rsid w:val="00075100"/>
    <w:rsid w:val="0007524D"/>
    <w:rsid w:val="000762B6"/>
    <w:rsid w:val="00076433"/>
    <w:rsid w:val="000833C3"/>
    <w:rsid w:val="00084242"/>
    <w:rsid w:val="00084270"/>
    <w:rsid w:val="00087179"/>
    <w:rsid w:val="00087496"/>
    <w:rsid w:val="0009132D"/>
    <w:rsid w:val="000922AB"/>
    <w:rsid w:val="00096A63"/>
    <w:rsid w:val="000971E1"/>
    <w:rsid w:val="000A082F"/>
    <w:rsid w:val="000A3353"/>
    <w:rsid w:val="000A4D5D"/>
    <w:rsid w:val="000A5EBA"/>
    <w:rsid w:val="000A64DB"/>
    <w:rsid w:val="000B0EC5"/>
    <w:rsid w:val="000B1383"/>
    <w:rsid w:val="000B3025"/>
    <w:rsid w:val="000B329C"/>
    <w:rsid w:val="000B4F61"/>
    <w:rsid w:val="000B5C84"/>
    <w:rsid w:val="000B694F"/>
    <w:rsid w:val="000C1230"/>
    <w:rsid w:val="000C151A"/>
    <w:rsid w:val="000C49CE"/>
    <w:rsid w:val="000C5E35"/>
    <w:rsid w:val="000C6DE0"/>
    <w:rsid w:val="000C75C7"/>
    <w:rsid w:val="000D1332"/>
    <w:rsid w:val="000D19E6"/>
    <w:rsid w:val="000D2684"/>
    <w:rsid w:val="000D2A9E"/>
    <w:rsid w:val="000D2BB3"/>
    <w:rsid w:val="000D3204"/>
    <w:rsid w:val="000D3D18"/>
    <w:rsid w:val="000D5831"/>
    <w:rsid w:val="000D5C13"/>
    <w:rsid w:val="000D6D23"/>
    <w:rsid w:val="000D7038"/>
    <w:rsid w:val="000E485F"/>
    <w:rsid w:val="000E53CD"/>
    <w:rsid w:val="000E59EF"/>
    <w:rsid w:val="000E7154"/>
    <w:rsid w:val="000E792B"/>
    <w:rsid w:val="000E7BE9"/>
    <w:rsid w:val="000F0A34"/>
    <w:rsid w:val="000F1308"/>
    <w:rsid w:val="000F338D"/>
    <w:rsid w:val="000F5B29"/>
    <w:rsid w:val="000F613C"/>
    <w:rsid w:val="000F61DF"/>
    <w:rsid w:val="000F637F"/>
    <w:rsid w:val="000F6DDB"/>
    <w:rsid w:val="001022F9"/>
    <w:rsid w:val="001049A2"/>
    <w:rsid w:val="00104B53"/>
    <w:rsid w:val="00105FBB"/>
    <w:rsid w:val="00106B9F"/>
    <w:rsid w:val="0010744F"/>
    <w:rsid w:val="00107A63"/>
    <w:rsid w:val="00110E7A"/>
    <w:rsid w:val="001127E6"/>
    <w:rsid w:val="00112D13"/>
    <w:rsid w:val="00112E20"/>
    <w:rsid w:val="00113BAE"/>
    <w:rsid w:val="00117CB1"/>
    <w:rsid w:val="0012018C"/>
    <w:rsid w:val="00122F31"/>
    <w:rsid w:val="00124F66"/>
    <w:rsid w:val="001254B2"/>
    <w:rsid w:val="001273F4"/>
    <w:rsid w:val="00130308"/>
    <w:rsid w:val="00130A66"/>
    <w:rsid w:val="001316B1"/>
    <w:rsid w:val="00131DC0"/>
    <w:rsid w:val="001349FD"/>
    <w:rsid w:val="0013527B"/>
    <w:rsid w:val="00135A62"/>
    <w:rsid w:val="00136D0E"/>
    <w:rsid w:val="001403E4"/>
    <w:rsid w:val="00140BB8"/>
    <w:rsid w:val="001423F1"/>
    <w:rsid w:val="00143F56"/>
    <w:rsid w:val="00145537"/>
    <w:rsid w:val="001468C8"/>
    <w:rsid w:val="00147F61"/>
    <w:rsid w:val="00150EBF"/>
    <w:rsid w:val="00152009"/>
    <w:rsid w:val="001545D1"/>
    <w:rsid w:val="00155B4A"/>
    <w:rsid w:val="0016034B"/>
    <w:rsid w:val="001603EA"/>
    <w:rsid w:val="00161F80"/>
    <w:rsid w:val="001626CB"/>
    <w:rsid w:val="00162A81"/>
    <w:rsid w:val="001631F5"/>
    <w:rsid w:val="001639F6"/>
    <w:rsid w:val="00167440"/>
    <w:rsid w:val="00170C66"/>
    <w:rsid w:val="00173F10"/>
    <w:rsid w:val="001740A8"/>
    <w:rsid w:val="0017452D"/>
    <w:rsid w:val="00174921"/>
    <w:rsid w:val="00175936"/>
    <w:rsid w:val="00176841"/>
    <w:rsid w:val="0018299B"/>
    <w:rsid w:val="001834CB"/>
    <w:rsid w:val="00185175"/>
    <w:rsid w:val="001859B3"/>
    <w:rsid w:val="00186503"/>
    <w:rsid w:val="0018798A"/>
    <w:rsid w:val="00187B7F"/>
    <w:rsid w:val="0019017D"/>
    <w:rsid w:val="00194362"/>
    <w:rsid w:val="0019452A"/>
    <w:rsid w:val="00197876"/>
    <w:rsid w:val="00197CCC"/>
    <w:rsid w:val="001A4A0A"/>
    <w:rsid w:val="001A4BCD"/>
    <w:rsid w:val="001A508C"/>
    <w:rsid w:val="001A64D4"/>
    <w:rsid w:val="001A65EE"/>
    <w:rsid w:val="001A688E"/>
    <w:rsid w:val="001A6D6F"/>
    <w:rsid w:val="001A6ECC"/>
    <w:rsid w:val="001A731E"/>
    <w:rsid w:val="001A7FD5"/>
    <w:rsid w:val="001B0576"/>
    <w:rsid w:val="001B2FD1"/>
    <w:rsid w:val="001B39FC"/>
    <w:rsid w:val="001B516D"/>
    <w:rsid w:val="001B5251"/>
    <w:rsid w:val="001B63B0"/>
    <w:rsid w:val="001B6B0A"/>
    <w:rsid w:val="001B7DF5"/>
    <w:rsid w:val="001C2581"/>
    <w:rsid w:val="001C400E"/>
    <w:rsid w:val="001C4B97"/>
    <w:rsid w:val="001C5C04"/>
    <w:rsid w:val="001C6BDD"/>
    <w:rsid w:val="001C7045"/>
    <w:rsid w:val="001C7CE8"/>
    <w:rsid w:val="001D13C3"/>
    <w:rsid w:val="001D1603"/>
    <w:rsid w:val="001D233F"/>
    <w:rsid w:val="001D2918"/>
    <w:rsid w:val="001D37DC"/>
    <w:rsid w:val="001D3A5C"/>
    <w:rsid w:val="001D4065"/>
    <w:rsid w:val="001D4709"/>
    <w:rsid w:val="001D487B"/>
    <w:rsid w:val="001D5654"/>
    <w:rsid w:val="001D5E1C"/>
    <w:rsid w:val="001D609C"/>
    <w:rsid w:val="001D6B25"/>
    <w:rsid w:val="001D7571"/>
    <w:rsid w:val="001D79EA"/>
    <w:rsid w:val="001E0E7B"/>
    <w:rsid w:val="001E33B1"/>
    <w:rsid w:val="001E38FE"/>
    <w:rsid w:val="001E4355"/>
    <w:rsid w:val="001E45CF"/>
    <w:rsid w:val="001E4667"/>
    <w:rsid w:val="001E4F03"/>
    <w:rsid w:val="001F1A57"/>
    <w:rsid w:val="001F1B3D"/>
    <w:rsid w:val="001F2F09"/>
    <w:rsid w:val="001F41E6"/>
    <w:rsid w:val="001F57FD"/>
    <w:rsid w:val="0020212B"/>
    <w:rsid w:val="0020268D"/>
    <w:rsid w:val="00202D98"/>
    <w:rsid w:val="00203751"/>
    <w:rsid w:val="00203F73"/>
    <w:rsid w:val="002058E3"/>
    <w:rsid w:val="00206227"/>
    <w:rsid w:val="002078A0"/>
    <w:rsid w:val="002111D7"/>
    <w:rsid w:val="002118E3"/>
    <w:rsid w:val="00217F64"/>
    <w:rsid w:val="0022063D"/>
    <w:rsid w:val="00221138"/>
    <w:rsid w:val="00221CAF"/>
    <w:rsid w:val="00222458"/>
    <w:rsid w:val="002238AC"/>
    <w:rsid w:val="00224D0C"/>
    <w:rsid w:val="00226E19"/>
    <w:rsid w:val="0023130C"/>
    <w:rsid w:val="00231C19"/>
    <w:rsid w:val="00232262"/>
    <w:rsid w:val="00232601"/>
    <w:rsid w:val="00234226"/>
    <w:rsid w:val="00235024"/>
    <w:rsid w:val="0023567E"/>
    <w:rsid w:val="002370FE"/>
    <w:rsid w:val="002373B5"/>
    <w:rsid w:val="002375F1"/>
    <w:rsid w:val="00242A4C"/>
    <w:rsid w:val="00242B2B"/>
    <w:rsid w:val="00242F2E"/>
    <w:rsid w:val="00246B6D"/>
    <w:rsid w:val="00246C68"/>
    <w:rsid w:val="002474CD"/>
    <w:rsid w:val="002502FC"/>
    <w:rsid w:val="002512D1"/>
    <w:rsid w:val="00251340"/>
    <w:rsid w:val="0025404D"/>
    <w:rsid w:val="00254239"/>
    <w:rsid w:val="00254B29"/>
    <w:rsid w:val="00254DB9"/>
    <w:rsid w:val="0025550D"/>
    <w:rsid w:val="002559C3"/>
    <w:rsid w:val="0025620C"/>
    <w:rsid w:val="002567FA"/>
    <w:rsid w:val="00257712"/>
    <w:rsid w:val="00260562"/>
    <w:rsid w:val="00260B90"/>
    <w:rsid w:val="002615FF"/>
    <w:rsid w:val="0026177D"/>
    <w:rsid w:val="002626E9"/>
    <w:rsid w:val="00262CC0"/>
    <w:rsid w:val="0026337A"/>
    <w:rsid w:val="0026363D"/>
    <w:rsid w:val="00263E8D"/>
    <w:rsid w:val="0027113F"/>
    <w:rsid w:val="0027127F"/>
    <w:rsid w:val="002719B0"/>
    <w:rsid w:val="00271B50"/>
    <w:rsid w:val="00272765"/>
    <w:rsid w:val="002751BC"/>
    <w:rsid w:val="00276A94"/>
    <w:rsid w:val="0027774F"/>
    <w:rsid w:val="00277E6A"/>
    <w:rsid w:val="00282F82"/>
    <w:rsid w:val="002837D9"/>
    <w:rsid w:val="002840B9"/>
    <w:rsid w:val="00290E74"/>
    <w:rsid w:val="002922EC"/>
    <w:rsid w:val="002964DC"/>
    <w:rsid w:val="00296A31"/>
    <w:rsid w:val="00296BB1"/>
    <w:rsid w:val="00297302"/>
    <w:rsid w:val="00297AEC"/>
    <w:rsid w:val="002A1B7A"/>
    <w:rsid w:val="002A4674"/>
    <w:rsid w:val="002A582C"/>
    <w:rsid w:val="002B03F2"/>
    <w:rsid w:val="002B346C"/>
    <w:rsid w:val="002B605C"/>
    <w:rsid w:val="002B672B"/>
    <w:rsid w:val="002B6D50"/>
    <w:rsid w:val="002B6E0B"/>
    <w:rsid w:val="002B789E"/>
    <w:rsid w:val="002B7F5B"/>
    <w:rsid w:val="002C0240"/>
    <w:rsid w:val="002C0B2A"/>
    <w:rsid w:val="002C177C"/>
    <w:rsid w:val="002C2409"/>
    <w:rsid w:val="002C267D"/>
    <w:rsid w:val="002C5643"/>
    <w:rsid w:val="002C70FF"/>
    <w:rsid w:val="002C72BB"/>
    <w:rsid w:val="002C7B7A"/>
    <w:rsid w:val="002D0EAB"/>
    <w:rsid w:val="002D17F3"/>
    <w:rsid w:val="002D233D"/>
    <w:rsid w:val="002D3991"/>
    <w:rsid w:val="002D42E9"/>
    <w:rsid w:val="002D45FF"/>
    <w:rsid w:val="002D46CE"/>
    <w:rsid w:val="002D470B"/>
    <w:rsid w:val="002D4FB0"/>
    <w:rsid w:val="002D515B"/>
    <w:rsid w:val="002D69E4"/>
    <w:rsid w:val="002D71A1"/>
    <w:rsid w:val="002E00E7"/>
    <w:rsid w:val="002E0CF7"/>
    <w:rsid w:val="002E144A"/>
    <w:rsid w:val="002E1727"/>
    <w:rsid w:val="002E190A"/>
    <w:rsid w:val="002E21E9"/>
    <w:rsid w:val="002E5577"/>
    <w:rsid w:val="002E5C8C"/>
    <w:rsid w:val="002F0053"/>
    <w:rsid w:val="002F0280"/>
    <w:rsid w:val="002F15D1"/>
    <w:rsid w:val="002F25E7"/>
    <w:rsid w:val="002F396D"/>
    <w:rsid w:val="002F46DC"/>
    <w:rsid w:val="002F503B"/>
    <w:rsid w:val="002F5E05"/>
    <w:rsid w:val="002F6D13"/>
    <w:rsid w:val="00301782"/>
    <w:rsid w:val="003037B3"/>
    <w:rsid w:val="0030565E"/>
    <w:rsid w:val="00306EF9"/>
    <w:rsid w:val="00311B3A"/>
    <w:rsid w:val="00311C7F"/>
    <w:rsid w:val="003120D5"/>
    <w:rsid w:val="003134AD"/>
    <w:rsid w:val="00313D8A"/>
    <w:rsid w:val="0031457F"/>
    <w:rsid w:val="00314663"/>
    <w:rsid w:val="003163D9"/>
    <w:rsid w:val="003164FD"/>
    <w:rsid w:val="00316826"/>
    <w:rsid w:val="0032339F"/>
    <w:rsid w:val="0032369C"/>
    <w:rsid w:val="00323C74"/>
    <w:rsid w:val="003323FD"/>
    <w:rsid w:val="00333DCA"/>
    <w:rsid w:val="00334A6A"/>
    <w:rsid w:val="00335F96"/>
    <w:rsid w:val="0033617B"/>
    <w:rsid w:val="00341629"/>
    <w:rsid w:val="003420D2"/>
    <w:rsid w:val="003428F7"/>
    <w:rsid w:val="00343232"/>
    <w:rsid w:val="00343A48"/>
    <w:rsid w:val="003474CC"/>
    <w:rsid w:val="00347A1C"/>
    <w:rsid w:val="00350082"/>
    <w:rsid w:val="00351B28"/>
    <w:rsid w:val="0035298C"/>
    <w:rsid w:val="0035433C"/>
    <w:rsid w:val="00355269"/>
    <w:rsid w:val="00357F54"/>
    <w:rsid w:val="00361B43"/>
    <w:rsid w:val="00362057"/>
    <w:rsid w:val="0036228E"/>
    <w:rsid w:val="0036236A"/>
    <w:rsid w:val="00363F87"/>
    <w:rsid w:val="003641A3"/>
    <w:rsid w:val="00364AE8"/>
    <w:rsid w:val="00364E7D"/>
    <w:rsid w:val="0036514C"/>
    <w:rsid w:val="00366045"/>
    <w:rsid w:val="00366210"/>
    <w:rsid w:val="00366D63"/>
    <w:rsid w:val="0036757F"/>
    <w:rsid w:val="003678CD"/>
    <w:rsid w:val="0037063E"/>
    <w:rsid w:val="003714D1"/>
    <w:rsid w:val="00373E5E"/>
    <w:rsid w:val="00376315"/>
    <w:rsid w:val="00377052"/>
    <w:rsid w:val="00377218"/>
    <w:rsid w:val="0037755A"/>
    <w:rsid w:val="00377FE0"/>
    <w:rsid w:val="003808D1"/>
    <w:rsid w:val="00383E49"/>
    <w:rsid w:val="00385562"/>
    <w:rsid w:val="00386014"/>
    <w:rsid w:val="00386F54"/>
    <w:rsid w:val="0038706C"/>
    <w:rsid w:val="00387AAB"/>
    <w:rsid w:val="00391DBB"/>
    <w:rsid w:val="00391E51"/>
    <w:rsid w:val="00394CC6"/>
    <w:rsid w:val="0039741C"/>
    <w:rsid w:val="00397977"/>
    <w:rsid w:val="003A0221"/>
    <w:rsid w:val="003A09F3"/>
    <w:rsid w:val="003A16B8"/>
    <w:rsid w:val="003A26CB"/>
    <w:rsid w:val="003A615A"/>
    <w:rsid w:val="003A6ABE"/>
    <w:rsid w:val="003A7130"/>
    <w:rsid w:val="003B03FB"/>
    <w:rsid w:val="003B10F9"/>
    <w:rsid w:val="003B1E56"/>
    <w:rsid w:val="003B2680"/>
    <w:rsid w:val="003B53CD"/>
    <w:rsid w:val="003B74DD"/>
    <w:rsid w:val="003C0465"/>
    <w:rsid w:val="003C193A"/>
    <w:rsid w:val="003C1EDB"/>
    <w:rsid w:val="003C34D1"/>
    <w:rsid w:val="003C480A"/>
    <w:rsid w:val="003C4A13"/>
    <w:rsid w:val="003C6461"/>
    <w:rsid w:val="003C6915"/>
    <w:rsid w:val="003C7C60"/>
    <w:rsid w:val="003D234C"/>
    <w:rsid w:val="003D2CBD"/>
    <w:rsid w:val="003D4E79"/>
    <w:rsid w:val="003D70C8"/>
    <w:rsid w:val="003D7AB1"/>
    <w:rsid w:val="003E1101"/>
    <w:rsid w:val="003E1FB0"/>
    <w:rsid w:val="003E254D"/>
    <w:rsid w:val="003E49AC"/>
    <w:rsid w:val="003E5D5F"/>
    <w:rsid w:val="003E6B8A"/>
    <w:rsid w:val="003E7D0F"/>
    <w:rsid w:val="003F1215"/>
    <w:rsid w:val="003F1923"/>
    <w:rsid w:val="003F3A2B"/>
    <w:rsid w:val="003F3DEE"/>
    <w:rsid w:val="003F440F"/>
    <w:rsid w:val="003F483D"/>
    <w:rsid w:val="003F508E"/>
    <w:rsid w:val="003F6683"/>
    <w:rsid w:val="003F71D2"/>
    <w:rsid w:val="00400589"/>
    <w:rsid w:val="00403BB4"/>
    <w:rsid w:val="00403D1C"/>
    <w:rsid w:val="00404563"/>
    <w:rsid w:val="00405785"/>
    <w:rsid w:val="004106CE"/>
    <w:rsid w:val="004111C4"/>
    <w:rsid w:val="00412E2C"/>
    <w:rsid w:val="00414392"/>
    <w:rsid w:val="004158B8"/>
    <w:rsid w:val="00416E59"/>
    <w:rsid w:val="00417677"/>
    <w:rsid w:val="0042017D"/>
    <w:rsid w:val="004207E6"/>
    <w:rsid w:val="00421271"/>
    <w:rsid w:val="004217B7"/>
    <w:rsid w:val="00421B67"/>
    <w:rsid w:val="00422CCD"/>
    <w:rsid w:val="004240A0"/>
    <w:rsid w:val="004246AF"/>
    <w:rsid w:val="0042533F"/>
    <w:rsid w:val="004254A5"/>
    <w:rsid w:val="00425AC8"/>
    <w:rsid w:val="0042697C"/>
    <w:rsid w:val="00426DDC"/>
    <w:rsid w:val="004311CC"/>
    <w:rsid w:val="00433D4D"/>
    <w:rsid w:val="00433EE3"/>
    <w:rsid w:val="004345BC"/>
    <w:rsid w:val="004356A9"/>
    <w:rsid w:val="004361BA"/>
    <w:rsid w:val="004370D7"/>
    <w:rsid w:val="004403AF"/>
    <w:rsid w:val="004419F5"/>
    <w:rsid w:val="00444800"/>
    <w:rsid w:val="004454EA"/>
    <w:rsid w:val="00445602"/>
    <w:rsid w:val="0044642E"/>
    <w:rsid w:val="004510A5"/>
    <w:rsid w:val="00453A22"/>
    <w:rsid w:val="00453E5E"/>
    <w:rsid w:val="00454EEE"/>
    <w:rsid w:val="00455362"/>
    <w:rsid w:val="00455996"/>
    <w:rsid w:val="00455AE2"/>
    <w:rsid w:val="004562C8"/>
    <w:rsid w:val="0045686F"/>
    <w:rsid w:val="00456B13"/>
    <w:rsid w:val="00457679"/>
    <w:rsid w:val="00460415"/>
    <w:rsid w:val="00460F96"/>
    <w:rsid w:val="00460FC7"/>
    <w:rsid w:val="00461876"/>
    <w:rsid w:val="0046271D"/>
    <w:rsid w:val="00464363"/>
    <w:rsid w:val="0046455D"/>
    <w:rsid w:val="00464D1B"/>
    <w:rsid w:val="00465D77"/>
    <w:rsid w:val="00465ED1"/>
    <w:rsid w:val="00466C08"/>
    <w:rsid w:val="004705AE"/>
    <w:rsid w:val="004706D8"/>
    <w:rsid w:val="0047275C"/>
    <w:rsid w:val="0047275F"/>
    <w:rsid w:val="00472C8C"/>
    <w:rsid w:val="00475569"/>
    <w:rsid w:val="004772A6"/>
    <w:rsid w:val="0047778B"/>
    <w:rsid w:val="004822A8"/>
    <w:rsid w:val="00483120"/>
    <w:rsid w:val="00483189"/>
    <w:rsid w:val="00485A8A"/>
    <w:rsid w:val="00486667"/>
    <w:rsid w:val="004924FE"/>
    <w:rsid w:val="00495795"/>
    <w:rsid w:val="004966B4"/>
    <w:rsid w:val="0049720F"/>
    <w:rsid w:val="004974DD"/>
    <w:rsid w:val="004A0C22"/>
    <w:rsid w:val="004A12CD"/>
    <w:rsid w:val="004A14D2"/>
    <w:rsid w:val="004A2021"/>
    <w:rsid w:val="004A3589"/>
    <w:rsid w:val="004A49CB"/>
    <w:rsid w:val="004A4BCD"/>
    <w:rsid w:val="004A5F09"/>
    <w:rsid w:val="004A6FCF"/>
    <w:rsid w:val="004A76D4"/>
    <w:rsid w:val="004A7B4C"/>
    <w:rsid w:val="004B17E5"/>
    <w:rsid w:val="004B2739"/>
    <w:rsid w:val="004B2C1B"/>
    <w:rsid w:val="004B2C90"/>
    <w:rsid w:val="004B2CD3"/>
    <w:rsid w:val="004B3B10"/>
    <w:rsid w:val="004B3F9B"/>
    <w:rsid w:val="004B52A9"/>
    <w:rsid w:val="004B5F67"/>
    <w:rsid w:val="004B6CA9"/>
    <w:rsid w:val="004B7931"/>
    <w:rsid w:val="004C046A"/>
    <w:rsid w:val="004C2FC4"/>
    <w:rsid w:val="004C35E1"/>
    <w:rsid w:val="004C374D"/>
    <w:rsid w:val="004C55FB"/>
    <w:rsid w:val="004C65D7"/>
    <w:rsid w:val="004C7211"/>
    <w:rsid w:val="004D20B2"/>
    <w:rsid w:val="004D20FB"/>
    <w:rsid w:val="004D2135"/>
    <w:rsid w:val="004D25C8"/>
    <w:rsid w:val="004D57A8"/>
    <w:rsid w:val="004D6438"/>
    <w:rsid w:val="004D7397"/>
    <w:rsid w:val="004D7778"/>
    <w:rsid w:val="004D7B20"/>
    <w:rsid w:val="004D7ECB"/>
    <w:rsid w:val="004E002E"/>
    <w:rsid w:val="004E0AFA"/>
    <w:rsid w:val="004E1201"/>
    <w:rsid w:val="004E2343"/>
    <w:rsid w:val="004E3178"/>
    <w:rsid w:val="004E4EF7"/>
    <w:rsid w:val="004E59D3"/>
    <w:rsid w:val="004E60AD"/>
    <w:rsid w:val="004E63B9"/>
    <w:rsid w:val="004E7C21"/>
    <w:rsid w:val="004F6507"/>
    <w:rsid w:val="005001F8"/>
    <w:rsid w:val="00500246"/>
    <w:rsid w:val="00500522"/>
    <w:rsid w:val="005008E5"/>
    <w:rsid w:val="00501352"/>
    <w:rsid w:val="00503AAB"/>
    <w:rsid w:val="0050405C"/>
    <w:rsid w:val="005059B3"/>
    <w:rsid w:val="00506968"/>
    <w:rsid w:val="005069B7"/>
    <w:rsid w:val="00513F1E"/>
    <w:rsid w:val="00515AE5"/>
    <w:rsid w:val="00515E9D"/>
    <w:rsid w:val="00516CB1"/>
    <w:rsid w:val="0051702F"/>
    <w:rsid w:val="00517941"/>
    <w:rsid w:val="00517ACB"/>
    <w:rsid w:val="00517F39"/>
    <w:rsid w:val="00521E24"/>
    <w:rsid w:val="00522471"/>
    <w:rsid w:val="00524E85"/>
    <w:rsid w:val="00525051"/>
    <w:rsid w:val="005250D1"/>
    <w:rsid w:val="00526695"/>
    <w:rsid w:val="00526F6F"/>
    <w:rsid w:val="00527A05"/>
    <w:rsid w:val="00530275"/>
    <w:rsid w:val="00531859"/>
    <w:rsid w:val="00532624"/>
    <w:rsid w:val="00534868"/>
    <w:rsid w:val="00534B38"/>
    <w:rsid w:val="00540825"/>
    <w:rsid w:val="0054166C"/>
    <w:rsid w:val="00541970"/>
    <w:rsid w:val="005427D7"/>
    <w:rsid w:val="0054565E"/>
    <w:rsid w:val="00546E7F"/>
    <w:rsid w:val="00547512"/>
    <w:rsid w:val="0054773E"/>
    <w:rsid w:val="00550DB8"/>
    <w:rsid w:val="00552DBD"/>
    <w:rsid w:val="00556C42"/>
    <w:rsid w:val="005572C0"/>
    <w:rsid w:val="00560075"/>
    <w:rsid w:val="005611D0"/>
    <w:rsid w:val="00561C18"/>
    <w:rsid w:val="0056388C"/>
    <w:rsid w:val="00570119"/>
    <w:rsid w:val="0057290F"/>
    <w:rsid w:val="0057299E"/>
    <w:rsid w:val="00572E7A"/>
    <w:rsid w:val="005738B3"/>
    <w:rsid w:val="00573F83"/>
    <w:rsid w:val="005740A3"/>
    <w:rsid w:val="00574404"/>
    <w:rsid w:val="00574DBB"/>
    <w:rsid w:val="005754C2"/>
    <w:rsid w:val="00576F73"/>
    <w:rsid w:val="005774C0"/>
    <w:rsid w:val="00580FEC"/>
    <w:rsid w:val="00581BD8"/>
    <w:rsid w:val="00581D31"/>
    <w:rsid w:val="0058233E"/>
    <w:rsid w:val="00592516"/>
    <w:rsid w:val="005929BE"/>
    <w:rsid w:val="00593A33"/>
    <w:rsid w:val="00593AE6"/>
    <w:rsid w:val="00594668"/>
    <w:rsid w:val="00595AC0"/>
    <w:rsid w:val="005978C2"/>
    <w:rsid w:val="005A03DF"/>
    <w:rsid w:val="005A0F55"/>
    <w:rsid w:val="005A22AB"/>
    <w:rsid w:val="005A5601"/>
    <w:rsid w:val="005A57E8"/>
    <w:rsid w:val="005A5FA1"/>
    <w:rsid w:val="005A6CD9"/>
    <w:rsid w:val="005A745A"/>
    <w:rsid w:val="005A77E5"/>
    <w:rsid w:val="005B074C"/>
    <w:rsid w:val="005B1A38"/>
    <w:rsid w:val="005B1D4E"/>
    <w:rsid w:val="005B22EF"/>
    <w:rsid w:val="005B5D38"/>
    <w:rsid w:val="005B7821"/>
    <w:rsid w:val="005C0309"/>
    <w:rsid w:val="005C0329"/>
    <w:rsid w:val="005C1219"/>
    <w:rsid w:val="005C275E"/>
    <w:rsid w:val="005C2F1B"/>
    <w:rsid w:val="005C329F"/>
    <w:rsid w:val="005C52B6"/>
    <w:rsid w:val="005C5CAD"/>
    <w:rsid w:val="005C5F6C"/>
    <w:rsid w:val="005C6286"/>
    <w:rsid w:val="005C7129"/>
    <w:rsid w:val="005D195D"/>
    <w:rsid w:val="005D2B98"/>
    <w:rsid w:val="005D3A2D"/>
    <w:rsid w:val="005D3D85"/>
    <w:rsid w:val="005D5411"/>
    <w:rsid w:val="005D5553"/>
    <w:rsid w:val="005D75A7"/>
    <w:rsid w:val="005D7BC0"/>
    <w:rsid w:val="005E066E"/>
    <w:rsid w:val="005E3873"/>
    <w:rsid w:val="005E4351"/>
    <w:rsid w:val="005E4ECB"/>
    <w:rsid w:val="005E518E"/>
    <w:rsid w:val="005E534F"/>
    <w:rsid w:val="005E6D1D"/>
    <w:rsid w:val="005F261D"/>
    <w:rsid w:val="005F30C4"/>
    <w:rsid w:val="005F5D06"/>
    <w:rsid w:val="005F689A"/>
    <w:rsid w:val="005F715B"/>
    <w:rsid w:val="005F799C"/>
    <w:rsid w:val="006003C8"/>
    <w:rsid w:val="006026ED"/>
    <w:rsid w:val="006027F5"/>
    <w:rsid w:val="00604E14"/>
    <w:rsid w:val="00605F47"/>
    <w:rsid w:val="006124A4"/>
    <w:rsid w:val="0061251D"/>
    <w:rsid w:val="00612F2D"/>
    <w:rsid w:val="00614A59"/>
    <w:rsid w:val="00616DA9"/>
    <w:rsid w:val="006200A9"/>
    <w:rsid w:val="006215E1"/>
    <w:rsid w:val="0062273C"/>
    <w:rsid w:val="006238C4"/>
    <w:rsid w:val="0062516A"/>
    <w:rsid w:val="00625AE4"/>
    <w:rsid w:val="00626638"/>
    <w:rsid w:val="0062741F"/>
    <w:rsid w:val="006346B7"/>
    <w:rsid w:val="0063483A"/>
    <w:rsid w:val="006378D2"/>
    <w:rsid w:val="00637EBD"/>
    <w:rsid w:val="00637F37"/>
    <w:rsid w:val="00640729"/>
    <w:rsid w:val="006427CD"/>
    <w:rsid w:val="0064345D"/>
    <w:rsid w:val="00643BE8"/>
    <w:rsid w:val="00644A10"/>
    <w:rsid w:val="00645043"/>
    <w:rsid w:val="0064752E"/>
    <w:rsid w:val="00650657"/>
    <w:rsid w:val="00650AEA"/>
    <w:rsid w:val="006539CA"/>
    <w:rsid w:val="0065437D"/>
    <w:rsid w:val="00654627"/>
    <w:rsid w:val="00654F18"/>
    <w:rsid w:val="00655361"/>
    <w:rsid w:val="006558F9"/>
    <w:rsid w:val="00655D52"/>
    <w:rsid w:val="006610DA"/>
    <w:rsid w:val="00661A86"/>
    <w:rsid w:val="00662328"/>
    <w:rsid w:val="00662585"/>
    <w:rsid w:val="006638F5"/>
    <w:rsid w:val="00663B0F"/>
    <w:rsid w:val="00663F14"/>
    <w:rsid w:val="006646A6"/>
    <w:rsid w:val="00664B6A"/>
    <w:rsid w:val="006671FF"/>
    <w:rsid w:val="00667E53"/>
    <w:rsid w:val="006702DD"/>
    <w:rsid w:val="00670650"/>
    <w:rsid w:val="00670A77"/>
    <w:rsid w:val="00672A41"/>
    <w:rsid w:val="0067393A"/>
    <w:rsid w:val="006754E4"/>
    <w:rsid w:val="00676851"/>
    <w:rsid w:val="00680484"/>
    <w:rsid w:val="006828FA"/>
    <w:rsid w:val="00682EB6"/>
    <w:rsid w:val="00683A9E"/>
    <w:rsid w:val="00683C02"/>
    <w:rsid w:val="006842E9"/>
    <w:rsid w:val="0068589E"/>
    <w:rsid w:val="0068748D"/>
    <w:rsid w:val="006905E5"/>
    <w:rsid w:val="0069371D"/>
    <w:rsid w:val="00693E60"/>
    <w:rsid w:val="00694DFB"/>
    <w:rsid w:val="0069556E"/>
    <w:rsid w:val="00695772"/>
    <w:rsid w:val="00695F77"/>
    <w:rsid w:val="00696B34"/>
    <w:rsid w:val="006A063B"/>
    <w:rsid w:val="006A0DF4"/>
    <w:rsid w:val="006A5A49"/>
    <w:rsid w:val="006A7363"/>
    <w:rsid w:val="006B0670"/>
    <w:rsid w:val="006B2DB8"/>
    <w:rsid w:val="006B2E4A"/>
    <w:rsid w:val="006B4065"/>
    <w:rsid w:val="006B5EA5"/>
    <w:rsid w:val="006B6181"/>
    <w:rsid w:val="006B6471"/>
    <w:rsid w:val="006B7849"/>
    <w:rsid w:val="006C18BA"/>
    <w:rsid w:val="006C3EF3"/>
    <w:rsid w:val="006C5C25"/>
    <w:rsid w:val="006C6466"/>
    <w:rsid w:val="006C688F"/>
    <w:rsid w:val="006C7F58"/>
    <w:rsid w:val="006D0428"/>
    <w:rsid w:val="006D04E6"/>
    <w:rsid w:val="006D0C46"/>
    <w:rsid w:val="006D1BF5"/>
    <w:rsid w:val="006D233F"/>
    <w:rsid w:val="006D2DE3"/>
    <w:rsid w:val="006D4DEA"/>
    <w:rsid w:val="006D58A8"/>
    <w:rsid w:val="006D64A9"/>
    <w:rsid w:val="006D6CF6"/>
    <w:rsid w:val="006E03DF"/>
    <w:rsid w:val="006E232F"/>
    <w:rsid w:val="006E32A4"/>
    <w:rsid w:val="006E4457"/>
    <w:rsid w:val="006E6340"/>
    <w:rsid w:val="006E7693"/>
    <w:rsid w:val="006F35F3"/>
    <w:rsid w:val="006F46EC"/>
    <w:rsid w:val="006F46F9"/>
    <w:rsid w:val="006F47F1"/>
    <w:rsid w:val="00700720"/>
    <w:rsid w:val="00703A41"/>
    <w:rsid w:val="0070474C"/>
    <w:rsid w:val="00711679"/>
    <w:rsid w:val="00711CE8"/>
    <w:rsid w:val="007121C7"/>
    <w:rsid w:val="0071300A"/>
    <w:rsid w:val="007161A5"/>
    <w:rsid w:val="00716258"/>
    <w:rsid w:val="00716A07"/>
    <w:rsid w:val="00717104"/>
    <w:rsid w:val="0072015C"/>
    <w:rsid w:val="0072309D"/>
    <w:rsid w:val="00723187"/>
    <w:rsid w:val="007232C9"/>
    <w:rsid w:val="00723772"/>
    <w:rsid w:val="007240EE"/>
    <w:rsid w:val="00724320"/>
    <w:rsid w:val="00730368"/>
    <w:rsid w:val="007305EE"/>
    <w:rsid w:val="00730E3E"/>
    <w:rsid w:val="00735CBB"/>
    <w:rsid w:val="007363A9"/>
    <w:rsid w:val="007369A3"/>
    <w:rsid w:val="00736C3C"/>
    <w:rsid w:val="00740FCC"/>
    <w:rsid w:val="00741620"/>
    <w:rsid w:val="00742EE9"/>
    <w:rsid w:val="007437FD"/>
    <w:rsid w:val="00744B0A"/>
    <w:rsid w:val="0074664F"/>
    <w:rsid w:val="007478A7"/>
    <w:rsid w:val="0075087E"/>
    <w:rsid w:val="007517B8"/>
    <w:rsid w:val="00751B20"/>
    <w:rsid w:val="0075343B"/>
    <w:rsid w:val="0075358E"/>
    <w:rsid w:val="00754755"/>
    <w:rsid w:val="00755D86"/>
    <w:rsid w:val="00755F7B"/>
    <w:rsid w:val="007561B7"/>
    <w:rsid w:val="00756268"/>
    <w:rsid w:val="00756828"/>
    <w:rsid w:val="007574CD"/>
    <w:rsid w:val="0076097F"/>
    <w:rsid w:val="0076666E"/>
    <w:rsid w:val="007670D6"/>
    <w:rsid w:val="00770D56"/>
    <w:rsid w:val="0077221F"/>
    <w:rsid w:val="00772D5D"/>
    <w:rsid w:val="007731F3"/>
    <w:rsid w:val="0077326C"/>
    <w:rsid w:val="00773545"/>
    <w:rsid w:val="00773D2D"/>
    <w:rsid w:val="0077502F"/>
    <w:rsid w:val="00780CB7"/>
    <w:rsid w:val="00781D42"/>
    <w:rsid w:val="00785E26"/>
    <w:rsid w:val="0078666C"/>
    <w:rsid w:val="00790421"/>
    <w:rsid w:val="0079115C"/>
    <w:rsid w:val="00791160"/>
    <w:rsid w:val="00791463"/>
    <w:rsid w:val="007931EF"/>
    <w:rsid w:val="00794014"/>
    <w:rsid w:val="007A011C"/>
    <w:rsid w:val="007A53B4"/>
    <w:rsid w:val="007A6B7C"/>
    <w:rsid w:val="007A720D"/>
    <w:rsid w:val="007B0867"/>
    <w:rsid w:val="007B1C91"/>
    <w:rsid w:val="007B3C94"/>
    <w:rsid w:val="007B431E"/>
    <w:rsid w:val="007B58BB"/>
    <w:rsid w:val="007C094B"/>
    <w:rsid w:val="007C1D9E"/>
    <w:rsid w:val="007C2502"/>
    <w:rsid w:val="007C4535"/>
    <w:rsid w:val="007C4BD6"/>
    <w:rsid w:val="007C4F89"/>
    <w:rsid w:val="007C65C8"/>
    <w:rsid w:val="007C67EC"/>
    <w:rsid w:val="007C6C55"/>
    <w:rsid w:val="007D17E9"/>
    <w:rsid w:val="007D1BE6"/>
    <w:rsid w:val="007D21A7"/>
    <w:rsid w:val="007D3D68"/>
    <w:rsid w:val="007D3F00"/>
    <w:rsid w:val="007D525B"/>
    <w:rsid w:val="007D74E7"/>
    <w:rsid w:val="007E29AE"/>
    <w:rsid w:val="007E5473"/>
    <w:rsid w:val="007F0684"/>
    <w:rsid w:val="007F162E"/>
    <w:rsid w:val="007F2938"/>
    <w:rsid w:val="007F5092"/>
    <w:rsid w:val="007F56ED"/>
    <w:rsid w:val="007F6ED3"/>
    <w:rsid w:val="007F7932"/>
    <w:rsid w:val="00801432"/>
    <w:rsid w:val="00801E72"/>
    <w:rsid w:val="00802B09"/>
    <w:rsid w:val="00803555"/>
    <w:rsid w:val="00804F3E"/>
    <w:rsid w:val="00806614"/>
    <w:rsid w:val="00806704"/>
    <w:rsid w:val="00806C98"/>
    <w:rsid w:val="008103D8"/>
    <w:rsid w:val="0081179D"/>
    <w:rsid w:val="0081196B"/>
    <w:rsid w:val="0081201E"/>
    <w:rsid w:val="008123B0"/>
    <w:rsid w:val="008141F9"/>
    <w:rsid w:val="00814261"/>
    <w:rsid w:val="008174C2"/>
    <w:rsid w:val="008177A6"/>
    <w:rsid w:val="00817D1D"/>
    <w:rsid w:val="00820673"/>
    <w:rsid w:val="008207E8"/>
    <w:rsid w:val="0082168C"/>
    <w:rsid w:val="0082170D"/>
    <w:rsid w:val="008223B5"/>
    <w:rsid w:val="008229FC"/>
    <w:rsid w:val="008233B4"/>
    <w:rsid w:val="00823B73"/>
    <w:rsid w:val="00823D58"/>
    <w:rsid w:val="00824B50"/>
    <w:rsid w:val="008278AD"/>
    <w:rsid w:val="00831BD7"/>
    <w:rsid w:val="0083414C"/>
    <w:rsid w:val="00834945"/>
    <w:rsid w:val="00834F6D"/>
    <w:rsid w:val="00835635"/>
    <w:rsid w:val="00836519"/>
    <w:rsid w:val="00837723"/>
    <w:rsid w:val="0084237C"/>
    <w:rsid w:val="008424BE"/>
    <w:rsid w:val="00843F11"/>
    <w:rsid w:val="0084487D"/>
    <w:rsid w:val="00845EC9"/>
    <w:rsid w:val="008462A0"/>
    <w:rsid w:val="0084781B"/>
    <w:rsid w:val="00847E9F"/>
    <w:rsid w:val="00850C2E"/>
    <w:rsid w:val="00852448"/>
    <w:rsid w:val="00861BA3"/>
    <w:rsid w:val="0086335F"/>
    <w:rsid w:val="0086349C"/>
    <w:rsid w:val="00871D3E"/>
    <w:rsid w:val="00872F7C"/>
    <w:rsid w:val="008743B1"/>
    <w:rsid w:val="0087535F"/>
    <w:rsid w:val="0087561E"/>
    <w:rsid w:val="00875753"/>
    <w:rsid w:val="00877609"/>
    <w:rsid w:val="0088007B"/>
    <w:rsid w:val="00880A4D"/>
    <w:rsid w:val="00882640"/>
    <w:rsid w:val="00883035"/>
    <w:rsid w:val="00883BE0"/>
    <w:rsid w:val="0088529B"/>
    <w:rsid w:val="008917AE"/>
    <w:rsid w:val="00891919"/>
    <w:rsid w:val="00892F93"/>
    <w:rsid w:val="008938C5"/>
    <w:rsid w:val="00893E83"/>
    <w:rsid w:val="008955AA"/>
    <w:rsid w:val="00897F3D"/>
    <w:rsid w:val="008A1F32"/>
    <w:rsid w:val="008A29D9"/>
    <w:rsid w:val="008A3CB9"/>
    <w:rsid w:val="008A3E62"/>
    <w:rsid w:val="008A43C0"/>
    <w:rsid w:val="008A5020"/>
    <w:rsid w:val="008A5F3F"/>
    <w:rsid w:val="008A672E"/>
    <w:rsid w:val="008A6731"/>
    <w:rsid w:val="008A67A8"/>
    <w:rsid w:val="008A6C3E"/>
    <w:rsid w:val="008A7A86"/>
    <w:rsid w:val="008B0F61"/>
    <w:rsid w:val="008B3AC0"/>
    <w:rsid w:val="008B403C"/>
    <w:rsid w:val="008B427F"/>
    <w:rsid w:val="008B5D76"/>
    <w:rsid w:val="008B7600"/>
    <w:rsid w:val="008C0559"/>
    <w:rsid w:val="008C32B7"/>
    <w:rsid w:val="008C402C"/>
    <w:rsid w:val="008C59EE"/>
    <w:rsid w:val="008C6991"/>
    <w:rsid w:val="008C749B"/>
    <w:rsid w:val="008C7E0C"/>
    <w:rsid w:val="008D12F9"/>
    <w:rsid w:val="008D1446"/>
    <w:rsid w:val="008D2397"/>
    <w:rsid w:val="008D38E4"/>
    <w:rsid w:val="008E1DBC"/>
    <w:rsid w:val="008E2E63"/>
    <w:rsid w:val="008E3452"/>
    <w:rsid w:val="008E3539"/>
    <w:rsid w:val="008E3953"/>
    <w:rsid w:val="008E3A3D"/>
    <w:rsid w:val="008E4BE7"/>
    <w:rsid w:val="008E742E"/>
    <w:rsid w:val="008E7A3F"/>
    <w:rsid w:val="008F249F"/>
    <w:rsid w:val="008F3F31"/>
    <w:rsid w:val="008F4A68"/>
    <w:rsid w:val="008F4A88"/>
    <w:rsid w:val="008F5443"/>
    <w:rsid w:val="008F5635"/>
    <w:rsid w:val="008F5CBE"/>
    <w:rsid w:val="008F68C8"/>
    <w:rsid w:val="008F6AB9"/>
    <w:rsid w:val="0090022E"/>
    <w:rsid w:val="00900A86"/>
    <w:rsid w:val="009043CA"/>
    <w:rsid w:val="00904953"/>
    <w:rsid w:val="0090506C"/>
    <w:rsid w:val="0090556B"/>
    <w:rsid w:val="009078B2"/>
    <w:rsid w:val="00911BCE"/>
    <w:rsid w:val="00912E52"/>
    <w:rsid w:val="0091331C"/>
    <w:rsid w:val="00913B16"/>
    <w:rsid w:val="00913BCE"/>
    <w:rsid w:val="009157D6"/>
    <w:rsid w:val="009171C3"/>
    <w:rsid w:val="00922D79"/>
    <w:rsid w:val="00923A2D"/>
    <w:rsid w:val="00924D58"/>
    <w:rsid w:val="00927E36"/>
    <w:rsid w:val="009302DD"/>
    <w:rsid w:val="00932314"/>
    <w:rsid w:val="00932BCB"/>
    <w:rsid w:val="00933301"/>
    <w:rsid w:val="00933746"/>
    <w:rsid w:val="009412CB"/>
    <w:rsid w:val="00941A21"/>
    <w:rsid w:val="00942918"/>
    <w:rsid w:val="00942B6F"/>
    <w:rsid w:val="00944506"/>
    <w:rsid w:val="009445E5"/>
    <w:rsid w:val="009445FC"/>
    <w:rsid w:val="00947C39"/>
    <w:rsid w:val="00950237"/>
    <w:rsid w:val="00951CF0"/>
    <w:rsid w:val="00952925"/>
    <w:rsid w:val="00952BE8"/>
    <w:rsid w:val="00952CD3"/>
    <w:rsid w:val="00952FEA"/>
    <w:rsid w:val="009531C8"/>
    <w:rsid w:val="00953A18"/>
    <w:rsid w:val="00953BF8"/>
    <w:rsid w:val="0095506E"/>
    <w:rsid w:val="00955913"/>
    <w:rsid w:val="0095599E"/>
    <w:rsid w:val="00960478"/>
    <w:rsid w:val="009613BA"/>
    <w:rsid w:val="00963EB3"/>
    <w:rsid w:val="00965A47"/>
    <w:rsid w:val="00965F1E"/>
    <w:rsid w:val="009670D7"/>
    <w:rsid w:val="00967DE5"/>
    <w:rsid w:val="0097355E"/>
    <w:rsid w:val="00973B06"/>
    <w:rsid w:val="00974FA7"/>
    <w:rsid w:val="009779A9"/>
    <w:rsid w:val="00977C83"/>
    <w:rsid w:val="009813B2"/>
    <w:rsid w:val="0098464E"/>
    <w:rsid w:val="00984BB5"/>
    <w:rsid w:val="00986B44"/>
    <w:rsid w:val="00986B4E"/>
    <w:rsid w:val="00991490"/>
    <w:rsid w:val="009919D7"/>
    <w:rsid w:val="00991A3E"/>
    <w:rsid w:val="00992284"/>
    <w:rsid w:val="00993F03"/>
    <w:rsid w:val="009966A0"/>
    <w:rsid w:val="00996E94"/>
    <w:rsid w:val="009A01D5"/>
    <w:rsid w:val="009A136C"/>
    <w:rsid w:val="009A252C"/>
    <w:rsid w:val="009A41CA"/>
    <w:rsid w:val="009A4DF8"/>
    <w:rsid w:val="009A4EAD"/>
    <w:rsid w:val="009A4F6D"/>
    <w:rsid w:val="009A6477"/>
    <w:rsid w:val="009A72D8"/>
    <w:rsid w:val="009B1C75"/>
    <w:rsid w:val="009B2AB1"/>
    <w:rsid w:val="009B2B0F"/>
    <w:rsid w:val="009B3A88"/>
    <w:rsid w:val="009B63DC"/>
    <w:rsid w:val="009C0DEE"/>
    <w:rsid w:val="009C1DC1"/>
    <w:rsid w:val="009C316A"/>
    <w:rsid w:val="009C4EAF"/>
    <w:rsid w:val="009C52AF"/>
    <w:rsid w:val="009C6885"/>
    <w:rsid w:val="009C6F13"/>
    <w:rsid w:val="009C7431"/>
    <w:rsid w:val="009C7DDA"/>
    <w:rsid w:val="009D1382"/>
    <w:rsid w:val="009D1DB8"/>
    <w:rsid w:val="009D2A7F"/>
    <w:rsid w:val="009D47DF"/>
    <w:rsid w:val="009D6732"/>
    <w:rsid w:val="009D6C6F"/>
    <w:rsid w:val="009D7EBA"/>
    <w:rsid w:val="009E0680"/>
    <w:rsid w:val="009E0770"/>
    <w:rsid w:val="009E09FD"/>
    <w:rsid w:val="009E1453"/>
    <w:rsid w:val="009E1D0D"/>
    <w:rsid w:val="009E2E41"/>
    <w:rsid w:val="009E517D"/>
    <w:rsid w:val="009E5631"/>
    <w:rsid w:val="009F09F7"/>
    <w:rsid w:val="009F15A0"/>
    <w:rsid w:val="009F3D2E"/>
    <w:rsid w:val="009F4841"/>
    <w:rsid w:val="009F4ADB"/>
    <w:rsid w:val="009F574D"/>
    <w:rsid w:val="00A01EB3"/>
    <w:rsid w:val="00A045BA"/>
    <w:rsid w:val="00A050E6"/>
    <w:rsid w:val="00A051E9"/>
    <w:rsid w:val="00A10C4A"/>
    <w:rsid w:val="00A126E5"/>
    <w:rsid w:val="00A12AC9"/>
    <w:rsid w:val="00A14856"/>
    <w:rsid w:val="00A15777"/>
    <w:rsid w:val="00A1618C"/>
    <w:rsid w:val="00A16FEE"/>
    <w:rsid w:val="00A20F11"/>
    <w:rsid w:val="00A21ACA"/>
    <w:rsid w:val="00A2545B"/>
    <w:rsid w:val="00A26702"/>
    <w:rsid w:val="00A279D5"/>
    <w:rsid w:val="00A30EB5"/>
    <w:rsid w:val="00A311E0"/>
    <w:rsid w:val="00A31CCB"/>
    <w:rsid w:val="00A32427"/>
    <w:rsid w:val="00A33A8D"/>
    <w:rsid w:val="00A354B6"/>
    <w:rsid w:val="00A35970"/>
    <w:rsid w:val="00A35C1C"/>
    <w:rsid w:val="00A35E82"/>
    <w:rsid w:val="00A36777"/>
    <w:rsid w:val="00A36FEA"/>
    <w:rsid w:val="00A37BA6"/>
    <w:rsid w:val="00A40786"/>
    <w:rsid w:val="00A42FD5"/>
    <w:rsid w:val="00A431FD"/>
    <w:rsid w:val="00A43DA5"/>
    <w:rsid w:val="00A45972"/>
    <w:rsid w:val="00A45A6C"/>
    <w:rsid w:val="00A50230"/>
    <w:rsid w:val="00A506E0"/>
    <w:rsid w:val="00A50ED5"/>
    <w:rsid w:val="00A52C7E"/>
    <w:rsid w:val="00A52EBB"/>
    <w:rsid w:val="00A5356F"/>
    <w:rsid w:val="00A54A3F"/>
    <w:rsid w:val="00A54FB9"/>
    <w:rsid w:val="00A5532C"/>
    <w:rsid w:val="00A55A51"/>
    <w:rsid w:val="00A570BF"/>
    <w:rsid w:val="00A573F3"/>
    <w:rsid w:val="00A611BD"/>
    <w:rsid w:val="00A6151B"/>
    <w:rsid w:val="00A62436"/>
    <w:rsid w:val="00A63146"/>
    <w:rsid w:val="00A65799"/>
    <w:rsid w:val="00A67B6B"/>
    <w:rsid w:val="00A70A8E"/>
    <w:rsid w:val="00A70FFC"/>
    <w:rsid w:val="00A71022"/>
    <w:rsid w:val="00A722FE"/>
    <w:rsid w:val="00A72B3B"/>
    <w:rsid w:val="00A734C1"/>
    <w:rsid w:val="00A741B0"/>
    <w:rsid w:val="00A759C1"/>
    <w:rsid w:val="00A766FC"/>
    <w:rsid w:val="00A77CC7"/>
    <w:rsid w:val="00A8181B"/>
    <w:rsid w:val="00A81850"/>
    <w:rsid w:val="00A81C90"/>
    <w:rsid w:val="00A85444"/>
    <w:rsid w:val="00A85E28"/>
    <w:rsid w:val="00A86FE5"/>
    <w:rsid w:val="00A92C35"/>
    <w:rsid w:val="00A92F7E"/>
    <w:rsid w:val="00A95197"/>
    <w:rsid w:val="00A958D6"/>
    <w:rsid w:val="00AA09E4"/>
    <w:rsid w:val="00AA0D91"/>
    <w:rsid w:val="00AA3D1D"/>
    <w:rsid w:val="00AA4C14"/>
    <w:rsid w:val="00AA4CE3"/>
    <w:rsid w:val="00AA57F0"/>
    <w:rsid w:val="00AA61E1"/>
    <w:rsid w:val="00AA6B04"/>
    <w:rsid w:val="00AA7419"/>
    <w:rsid w:val="00AB0D28"/>
    <w:rsid w:val="00AB123E"/>
    <w:rsid w:val="00AB240B"/>
    <w:rsid w:val="00AB2872"/>
    <w:rsid w:val="00AB30CF"/>
    <w:rsid w:val="00AB470F"/>
    <w:rsid w:val="00AB569D"/>
    <w:rsid w:val="00AB5B52"/>
    <w:rsid w:val="00AB657C"/>
    <w:rsid w:val="00AB7A38"/>
    <w:rsid w:val="00AC0318"/>
    <w:rsid w:val="00AC0FEE"/>
    <w:rsid w:val="00AC1F48"/>
    <w:rsid w:val="00AC3E89"/>
    <w:rsid w:val="00AC4581"/>
    <w:rsid w:val="00AC5D79"/>
    <w:rsid w:val="00AC608B"/>
    <w:rsid w:val="00AC677E"/>
    <w:rsid w:val="00AC6B16"/>
    <w:rsid w:val="00AC6F6C"/>
    <w:rsid w:val="00AC7F87"/>
    <w:rsid w:val="00AD2822"/>
    <w:rsid w:val="00AD3960"/>
    <w:rsid w:val="00AD4656"/>
    <w:rsid w:val="00AD5603"/>
    <w:rsid w:val="00AD69AF"/>
    <w:rsid w:val="00AD7DB5"/>
    <w:rsid w:val="00AE0A80"/>
    <w:rsid w:val="00AE0CA6"/>
    <w:rsid w:val="00AE2A14"/>
    <w:rsid w:val="00AE373F"/>
    <w:rsid w:val="00AE3B08"/>
    <w:rsid w:val="00AE4229"/>
    <w:rsid w:val="00AE4363"/>
    <w:rsid w:val="00AE681F"/>
    <w:rsid w:val="00AE684E"/>
    <w:rsid w:val="00AE6A6F"/>
    <w:rsid w:val="00AF0100"/>
    <w:rsid w:val="00AF1E74"/>
    <w:rsid w:val="00AF2672"/>
    <w:rsid w:val="00AF32D1"/>
    <w:rsid w:val="00AF3EA3"/>
    <w:rsid w:val="00AF7A23"/>
    <w:rsid w:val="00B00144"/>
    <w:rsid w:val="00B011A9"/>
    <w:rsid w:val="00B012E7"/>
    <w:rsid w:val="00B01E25"/>
    <w:rsid w:val="00B01E66"/>
    <w:rsid w:val="00B024DD"/>
    <w:rsid w:val="00B02968"/>
    <w:rsid w:val="00B02D7D"/>
    <w:rsid w:val="00B033CF"/>
    <w:rsid w:val="00B047A4"/>
    <w:rsid w:val="00B04DE0"/>
    <w:rsid w:val="00B04EE1"/>
    <w:rsid w:val="00B0558E"/>
    <w:rsid w:val="00B06140"/>
    <w:rsid w:val="00B078FD"/>
    <w:rsid w:val="00B1070A"/>
    <w:rsid w:val="00B11C10"/>
    <w:rsid w:val="00B11CB1"/>
    <w:rsid w:val="00B11D05"/>
    <w:rsid w:val="00B13E32"/>
    <w:rsid w:val="00B1491E"/>
    <w:rsid w:val="00B179EF"/>
    <w:rsid w:val="00B21E8E"/>
    <w:rsid w:val="00B22109"/>
    <w:rsid w:val="00B2281B"/>
    <w:rsid w:val="00B24F1E"/>
    <w:rsid w:val="00B25B98"/>
    <w:rsid w:val="00B300E4"/>
    <w:rsid w:val="00B320EF"/>
    <w:rsid w:val="00B3280D"/>
    <w:rsid w:val="00B3525B"/>
    <w:rsid w:val="00B3528D"/>
    <w:rsid w:val="00B3582E"/>
    <w:rsid w:val="00B36E3D"/>
    <w:rsid w:val="00B40A67"/>
    <w:rsid w:val="00B422C6"/>
    <w:rsid w:val="00B42993"/>
    <w:rsid w:val="00B42F3D"/>
    <w:rsid w:val="00B454A9"/>
    <w:rsid w:val="00B45B5D"/>
    <w:rsid w:val="00B45F30"/>
    <w:rsid w:val="00B500EA"/>
    <w:rsid w:val="00B514E6"/>
    <w:rsid w:val="00B517B9"/>
    <w:rsid w:val="00B52940"/>
    <w:rsid w:val="00B52DFC"/>
    <w:rsid w:val="00B5355C"/>
    <w:rsid w:val="00B55958"/>
    <w:rsid w:val="00B56CAE"/>
    <w:rsid w:val="00B579FE"/>
    <w:rsid w:val="00B57CD9"/>
    <w:rsid w:val="00B60206"/>
    <w:rsid w:val="00B618BE"/>
    <w:rsid w:val="00B625E8"/>
    <w:rsid w:val="00B6273B"/>
    <w:rsid w:val="00B66318"/>
    <w:rsid w:val="00B6635B"/>
    <w:rsid w:val="00B664FF"/>
    <w:rsid w:val="00B670A6"/>
    <w:rsid w:val="00B708E8"/>
    <w:rsid w:val="00B717C0"/>
    <w:rsid w:val="00B71C86"/>
    <w:rsid w:val="00B72778"/>
    <w:rsid w:val="00B72F8B"/>
    <w:rsid w:val="00B74E09"/>
    <w:rsid w:val="00B76597"/>
    <w:rsid w:val="00B76A1A"/>
    <w:rsid w:val="00B8105F"/>
    <w:rsid w:val="00B822E8"/>
    <w:rsid w:val="00B82429"/>
    <w:rsid w:val="00B82571"/>
    <w:rsid w:val="00B82E6F"/>
    <w:rsid w:val="00B82F1D"/>
    <w:rsid w:val="00B85C8D"/>
    <w:rsid w:val="00B87653"/>
    <w:rsid w:val="00B87B60"/>
    <w:rsid w:val="00B93C2B"/>
    <w:rsid w:val="00B93ED2"/>
    <w:rsid w:val="00B9551E"/>
    <w:rsid w:val="00B95674"/>
    <w:rsid w:val="00B957FF"/>
    <w:rsid w:val="00B963BF"/>
    <w:rsid w:val="00B96BE2"/>
    <w:rsid w:val="00BA1A8C"/>
    <w:rsid w:val="00BA3920"/>
    <w:rsid w:val="00BA4689"/>
    <w:rsid w:val="00BA4BD7"/>
    <w:rsid w:val="00BC0D23"/>
    <w:rsid w:val="00BC1318"/>
    <w:rsid w:val="00BC2230"/>
    <w:rsid w:val="00BC3756"/>
    <w:rsid w:val="00BC52E7"/>
    <w:rsid w:val="00BC6075"/>
    <w:rsid w:val="00BC61F4"/>
    <w:rsid w:val="00BC6EF0"/>
    <w:rsid w:val="00BD08F8"/>
    <w:rsid w:val="00BD1272"/>
    <w:rsid w:val="00BD2C98"/>
    <w:rsid w:val="00BD3174"/>
    <w:rsid w:val="00BD3569"/>
    <w:rsid w:val="00BD402B"/>
    <w:rsid w:val="00BD5205"/>
    <w:rsid w:val="00BD5D8E"/>
    <w:rsid w:val="00BD65A5"/>
    <w:rsid w:val="00BD6980"/>
    <w:rsid w:val="00BD750D"/>
    <w:rsid w:val="00BE0444"/>
    <w:rsid w:val="00BE261A"/>
    <w:rsid w:val="00BE43BC"/>
    <w:rsid w:val="00BE50BD"/>
    <w:rsid w:val="00BE5100"/>
    <w:rsid w:val="00BE7635"/>
    <w:rsid w:val="00BF067B"/>
    <w:rsid w:val="00BF1BBC"/>
    <w:rsid w:val="00BF248B"/>
    <w:rsid w:val="00BF37D2"/>
    <w:rsid w:val="00BF5F20"/>
    <w:rsid w:val="00BF6D81"/>
    <w:rsid w:val="00BF7112"/>
    <w:rsid w:val="00BF7C65"/>
    <w:rsid w:val="00BF7E08"/>
    <w:rsid w:val="00C0217D"/>
    <w:rsid w:val="00C02F1B"/>
    <w:rsid w:val="00C0369F"/>
    <w:rsid w:val="00C0475B"/>
    <w:rsid w:val="00C04C05"/>
    <w:rsid w:val="00C052A6"/>
    <w:rsid w:val="00C05D37"/>
    <w:rsid w:val="00C108F7"/>
    <w:rsid w:val="00C12E1F"/>
    <w:rsid w:val="00C13059"/>
    <w:rsid w:val="00C13EE4"/>
    <w:rsid w:val="00C14355"/>
    <w:rsid w:val="00C14464"/>
    <w:rsid w:val="00C15F7D"/>
    <w:rsid w:val="00C205CD"/>
    <w:rsid w:val="00C21A35"/>
    <w:rsid w:val="00C220AD"/>
    <w:rsid w:val="00C22239"/>
    <w:rsid w:val="00C2265D"/>
    <w:rsid w:val="00C2448A"/>
    <w:rsid w:val="00C25186"/>
    <w:rsid w:val="00C25D75"/>
    <w:rsid w:val="00C2620D"/>
    <w:rsid w:val="00C26618"/>
    <w:rsid w:val="00C324C3"/>
    <w:rsid w:val="00C34A40"/>
    <w:rsid w:val="00C36451"/>
    <w:rsid w:val="00C40F3B"/>
    <w:rsid w:val="00C419C6"/>
    <w:rsid w:val="00C41C54"/>
    <w:rsid w:val="00C42124"/>
    <w:rsid w:val="00C467B2"/>
    <w:rsid w:val="00C5007B"/>
    <w:rsid w:val="00C51481"/>
    <w:rsid w:val="00C517FA"/>
    <w:rsid w:val="00C53A59"/>
    <w:rsid w:val="00C55BA1"/>
    <w:rsid w:val="00C560C4"/>
    <w:rsid w:val="00C56835"/>
    <w:rsid w:val="00C65611"/>
    <w:rsid w:val="00C667A2"/>
    <w:rsid w:val="00C74ABC"/>
    <w:rsid w:val="00C74CE7"/>
    <w:rsid w:val="00C7500F"/>
    <w:rsid w:val="00C75186"/>
    <w:rsid w:val="00C756C9"/>
    <w:rsid w:val="00C76C19"/>
    <w:rsid w:val="00C806A7"/>
    <w:rsid w:val="00C813AE"/>
    <w:rsid w:val="00C8169F"/>
    <w:rsid w:val="00C8432B"/>
    <w:rsid w:val="00C85A07"/>
    <w:rsid w:val="00C86A69"/>
    <w:rsid w:val="00C914E9"/>
    <w:rsid w:val="00C91764"/>
    <w:rsid w:val="00C9182B"/>
    <w:rsid w:val="00C924F8"/>
    <w:rsid w:val="00C95A91"/>
    <w:rsid w:val="00C96033"/>
    <w:rsid w:val="00C966FF"/>
    <w:rsid w:val="00C96914"/>
    <w:rsid w:val="00CA0DEF"/>
    <w:rsid w:val="00CA1661"/>
    <w:rsid w:val="00CA1DDE"/>
    <w:rsid w:val="00CA3456"/>
    <w:rsid w:val="00CA3B76"/>
    <w:rsid w:val="00CA5105"/>
    <w:rsid w:val="00CA5C56"/>
    <w:rsid w:val="00CA6869"/>
    <w:rsid w:val="00CA6FEC"/>
    <w:rsid w:val="00CB0D99"/>
    <w:rsid w:val="00CB1153"/>
    <w:rsid w:val="00CB20A5"/>
    <w:rsid w:val="00CB283B"/>
    <w:rsid w:val="00CB3095"/>
    <w:rsid w:val="00CB5888"/>
    <w:rsid w:val="00CB6115"/>
    <w:rsid w:val="00CB6219"/>
    <w:rsid w:val="00CB70F4"/>
    <w:rsid w:val="00CB72F0"/>
    <w:rsid w:val="00CB76FC"/>
    <w:rsid w:val="00CC3B3E"/>
    <w:rsid w:val="00CC56A2"/>
    <w:rsid w:val="00CC584C"/>
    <w:rsid w:val="00CC61D7"/>
    <w:rsid w:val="00CD0658"/>
    <w:rsid w:val="00CD1649"/>
    <w:rsid w:val="00CD1C02"/>
    <w:rsid w:val="00CD37C2"/>
    <w:rsid w:val="00CD4942"/>
    <w:rsid w:val="00CD65A4"/>
    <w:rsid w:val="00CD6855"/>
    <w:rsid w:val="00CD7F38"/>
    <w:rsid w:val="00CE03BC"/>
    <w:rsid w:val="00CE0D97"/>
    <w:rsid w:val="00CE0FF8"/>
    <w:rsid w:val="00CE2B9D"/>
    <w:rsid w:val="00CE2F8F"/>
    <w:rsid w:val="00CE33D8"/>
    <w:rsid w:val="00CE33FC"/>
    <w:rsid w:val="00CE36C3"/>
    <w:rsid w:val="00CE3AA8"/>
    <w:rsid w:val="00CE3DBE"/>
    <w:rsid w:val="00CE54EA"/>
    <w:rsid w:val="00CF05F1"/>
    <w:rsid w:val="00CF31C2"/>
    <w:rsid w:val="00CF3DC4"/>
    <w:rsid w:val="00CF4096"/>
    <w:rsid w:val="00CF45D1"/>
    <w:rsid w:val="00CF5AB5"/>
    <w:rsid w:val="00CF5B5D"/>
    <w:rsid w:val="00D005CF"/>
    <w:rsid w:val="00D01FCD"/>
    <w:rsid w:val="00D02062"/>
    <w:rsid w:val="00D03667"/>
    <w:rsid w:val="00D0506E"/>
    <w:rsid w:val="00D056B2"/>
    <w:rsid w:val="00D06BD4"/>
    <w:rsid w:val="00D06C6D"/>
    <w:rsid w:val="00D077C9"/>
    <w:rsid w:val="00D10097"/>
    <w:rsid w:val="00D108B6"/>
    <w:rsid w:val="00D10A5D"/>
    <w:rsid w:val="00D10E20"/>
    <w:rsid w:val="00D1292C"/>
    <w:rsid w:val="00D17564"/>
    <w:rsid w:val="00D20563"/>
    <w:rsid w:val="00D20B94"/>
    <w:rsid w:val="00D23680"/>
    <w:rsid w:val="00D25ABD"/>
    <w:rsid w:val="00D31616"/>
    <w:rsid w:val="00D31911"/>
    <w:rsid w:val="00D34CDF"/>
    <w:rsid w:val="00D35120"/>
    <w:rsid w:val="00D36ECD"/>
    <w:rsid w:val="00D37298"/>
    <w:rsid w:val="00D3768E"/>
    <w:rsid w:val="00D40852"/>
    <w:rsid w:val="00D42895"/>
    <w:rsid w:val="00D42AF9"/>
    <w:rsid w:val="00D42DEF"/>
    <w:rsid w:val="00D4330E"/>
    <w:rsid w:val="00D43D9C"/>
    <w:rsid w:val="00D44394"/>
    <w:rsid w:val="00D44D5C"/>
    <w:rsid w:val="00D4621C"/>
    <w:rsid w:val="00D46A06"/>
    <w:rsid w:val="00D5064C"/>
    <w:rsid w:val="00D50E5E"/>
    <w:rsid w:val="00D54AE7"/>
    <w:rsid w:val="00D561C2"/>
    <w:rsid w:val="00D57C06"/>
    <w:rsid w:val="00D60BD3"/>
    <w:rsid w:val="00D620F3"/>
    <w:rsid w:val="00D6420A"/>
    <w:rsid w:val="00D650ED"/>
    <w:rsid w:val="00D654C6"/>
    <w:rsid w:val="00D66296"/>
    <w:rsid w:val="00D66551"/>
    <w:rsid w:val="00D666EE"/>
    <w:rsid w:val="00D708B2"/>
    <w:rsid w:val="00D73685"/>
    <w:rsid w:val="00D7539C"/>
    <w:rsid w:val="00D770D1"/>
    <w:rsid w:val="00D80E61"/>
    <w:rsid w:val="00D80EA2"/>
    <w:rsid w:val="00D81BC5"/>
    <w:rsid w:val="00D822E1"/>
    <w:rsid w:val="00D82CD6"/>
    <w:rsid w:val="00D83AA4"/>
    <w:rsid w:val="00D842F3"/>
    <w:rsid w:val="00D8441A"/>
    <w:rsid w:val="00D84B1B"/>
    <w:rsid w:val="00D85AB3"/>
    <w:rsid w:val="00D867E3"/>
    <w:rsid w:val="00D87B35"/>
    <w:rsid w:val="00D90764"/>
    <w:rsid w:val="00D90F6D"/>
    <w:rsid w:val="00D943AB"/>
    <w:rsid w:val="00D96811"/>
    <w:rsid w:val="00D96FBE"/>
    <w:rsid w:val="00D97CED"/>
    <w:rsid w:val="00DA08E3"/>
    <w:rsid w:val="00DA166F"/>
    <w:rsid w:val="00DA1DC7"/>
    <w:rsid w:val="00DA24F7"/>
    <w:rsid w:val="00DA5321"/>
    <w:rsid w:val="00DA5355"/>
    <w:rsid w:val="00DA5B13"/>
    <w:rsid w:val="00DA61DD"/>
    <w:rsid w:val="00DA7783"/>
    <w:rsid w:val="00DB0576"/>
    <w:rsid w:val="00DB4861"/>
    <w:rsid w:val="00DB4D1F"/>
    <w:rsid w:val="00DB5088"/>
    <w:rsid w:val="00DB51DA"/>
    <w:rsid w:val="00DB53C8"/>
    <w:rsid w:val="00DB6004"/>
    <w:rsid w:val="00DB65EE"/>
    <w:rsid w:val="00DB6F03"/>
    <w:rsid w:val="00DC09C8"/>
    <w:rsid w:val="00DC2073"/>
    <w:rsid w:val="00DC6865"/>
    <w:rsid w:val="00DC6BCE"/>
    <w:rsid w:val="00DD012C"/>
    <w:rsid w:val="00DD0479"/>
    <w:rsid w:val="00DD2170"/>
    <w:rsid w:val="00DD3CB2"/>
    <w:rsid w:val="00DD3D4C"/>
    <w:rsid w:val="00DD6546"/>
    <w:rsid w:val="00DE1DF3"/>
    <w:rsid w:val="00DE2B23"/>
    <w:rsid w:val="00DE2E67"/>
    <w:rsid w:val="00DE52B0"/>
    <w:rsid w:val="00DE64F5"/>
    <w:rsid w:val="00DE68D8"/>
    <w:rsid w:val="00DE6FA9"/>
    <w:rsid w:val="00DF00D1"/>
    <w:rsid w:val="00DF236B"/>
    <w:rsid w:val="00DF2495"/>
    <w:rsid w:val="00DF2E29"/>
    <w:rsid w:val="00DF327F"/>
    <w:rsid w:val="00DF399B"/>
    <w:rsid w:val="00E015CF"/>
    <w:rsid w:val="00E016AE"/>
    <w:rsid w:val="00E02C68"/>
    <w:rsid w:val="00E03D0B"/>
    <w:rsid w:val="00E055A8"/>
    <w:rsid w:val="00E055D8"/>
    <w:rsid w:val="00E06430"/>
    <w:rsid w:val="00E07FE2"/>
    <w:rsid w:val="00E107D2"/>
    <w:rsid w:val="00E10F65"/>
    <w:rsid w:val="00E1179E"/>
    <w:rsid w:val="00E118C2"/>
    <w:rsid w:val="00E14E47"/>
    <w:rsid w:val="00E163CA"/>
    <w:rsid w:val="00E2007B"/>
    <w:rsid w:val="00E2094D"/>
    <w:rsid w:val="00E21F1D"/>
    <w:rsid w:val="00E229AA"/>
    <w:rsid w:val="00E22F21"/>
    <w:rsid w:val="00E2732F"/>
    <w:rsid w:val="00E30307"/>
    <w:rsid w:val="00E30C6F"/>
    <w:rsid w:val="00E34CBE"/>
    <w:rsid w:val="00E365A1"/>
    <w:rsid w:val="00E404A0"/>
    <w:rsid w:val="00E420F3"/>
    <w:rsid w:val="00E4367D"/>
    <w:rsid w:val="00E437C5"/>
    <w:rsid w:val="00E44B3D"/>
    <w:rsid w:val="00E44FCF"/>
    <w:rsid w:val="00E4565E"/>
    <w:rsid w:val="00E46796"/>
    <w:rsid w:val="00E46E36"/>
    <w:rsid w:val="00E50200"/>
    <w:rsid w:val="00E511E3"/>
    <w:rsid w:val="00E55927"/>
    <w:rsid w:val="00E57129"/>
    <w:rsid w:val="00E57308"/>
    <w:rsid w:val="00E6121B"/>
    <w:rsid w:val="00E62370"/>
    <w:rsid w:val="00E624BD"/>
    <w:rsid w:val="00E62551"/>
    <w:rsid w:val="00E63D19"/>
    <w:rsid w:val="00E649EA"/>
    <w:rsid w:val="00E654BB"/>
    <w:rsid w:val="00E702C1"/>
    <w:rsid w:val="00E7126F"/>
    <w:rsid w:val="00E718C7"/>
    <w:rsid w:val="00E7359E"/>
    <w:rsid w:val="00E739A9"/>
    <w:rsid w:val="00E765F1"/>
    <w:rsid w:val="00E77621"/>
    <w:rsid w:val="00E80414"/>
    <w:rsid w:val="00E80AE8"/>
    <w:rsid w:val="00E827FC"/>
    <w:rsid w:val="00E82C4C"/>
    <w:rsid w:val="00E83559"/>
    <w:rsid w:val="00E84E3C"/>
    <w:rsid w:val="00E85628"/>
    <w:rsid w:val="00E8755D"/>
    <w:rsid w:val="00E87C3E"/>
    <w:rsid w:val="00E900C9"/>
    <w:rsid w:val="00E91BF1"/>
    <w:rsid w:val="00E922A7"/>
    <w:rsid w:val="00E92B51"/>
    <w:rsid w:val="00E92D6C"/>
    <w:rsid w:val="00E934A5"/>
    <w:rsid w:val="00E95148"/>
    <w:rsid w:val="00E97461"/>
    <w:rsid w:val="00EA0C0E"/>
    <w:rsid w:val="00EA1ACF"/>
    <w:rsid w:val="00EA2E49"/>
    <w:rsid w:val="00EA31D5"/>
    <w:rsid w:val="00EA3493"/>
    <w:rsid w:val="00EA5747"/>
    <w:rsid w:val="00EA6257"/>
    <w:rsid w:val="00EA6481"/>
    <w:rsid w:val="00EA67B5"/>
    <w:rsid w:val="00EB1A49"/>
    <w:rsid w:val="00EB3543"/>
    <w:rsid w:val="00EB47F9"/>
    <w:rsid w:val="00EB508A"/>
    <w:rsid w:val="00EB7104"/>
    <w:rsid w:val="00EC057A"/>
    <w:rsid w:val="00EC1CD8"/>
    <w:rsid w:val="00EC3B34"/>
    <w:rsid w:val="00EC5EE2"/>
    <w:rsid w:val="00ED16DE"/>
    <w:rsid w:val="00ED33C5"/>
    <w:rsid w:val="00ED369B"/>
    <w:rsid w:val="00ED55D1"/>
    <w:rsid w:val="00ED5D4A"/>
    <w:rsid w:val="00EE011A"/>
    <w:rsid w:val="00EE1401"/>
    <w:rsid w:val="00EE34B1"/>
    <w:rsid w:val="00EE36C8"/>
    <w:rsid w:val="00EE39E4"/>
    <w:rsid w:val="00EE4947"/>
    <w:rsid w:val="00EE5A5B"/>
    <w:rsid w:val="00EE5DF2"/>
    <w:rsid w:val="00EE6711"/>
    <w:rsid w:val="00EF2515"/>
    <w:rsid w:val="00EF3521"/>
    <w:rsid w:val="00EF3CD5"/>
    <w:rsid w:val="00EF4467"/>
    <w:rsid w:val="00EF4C31"/>
    <w:rsid w:val="00EF6770"/>
    <w:rsid w:val="00EF6905"/>
    <w:rsid w:val="00EF6BC0"/>
    <w:rsid w:val="00F01350"/>
    <w:rsid w:val="00F03B09"/>
    <w:rsid w:val="00F0508B"/>
    <w:rsid w:val="00F05FF1"/>
    <w:rsid w:val="00F06215"/>
    <w:rsid w:val="00F06D3E"/>
    <w:rsid w:val="00F124FF"/>
    <w:rsid w:val="00F15E25"/>
    <w:rsid w:val="00F16088"/>
    <w:rsid w:val="00F17DF4"/>
    <w:rsid w:val="00F20A9C"/>
    <w:rsid w:val="00F2267B"/>
    <w:rsid w:val="00F23FF1"/>
    <w:rsid w:val="00F24450"/>
    <w:rsid w:val="00F247E9"/>
    <w:rsid w:val="00F24D1E"/>
    <w:rsid w:val="00F25130"/>
    <w:rsid w:val="00F2563B"/>
    <w:rsid w:val="00F32A07"/>
    <w:rsid w:val="00F32BD0"/>
    <w:rsid w:val="00F33847"/>
    <w:rsid w:val="00F34D4E"/>
    <w:rsid w:val="00F35064"/>
    <w:rsid w:val="00F3635A"/>
    <w:rsid w:val="00F374C2"/>
    <w:rsid w:val="00F37CC1"/>
    <w:rsid w:val="00F404FE"/>
    <w:rsid w:val="00F40B71"/>
    <w:rsid w:val="00F41455"/>
    <w:rsid w:val="00F41689"/>
    <w:rsid w:val="00F41C75"/>
    <w:rsid w:val="00F46166"/>
    <w:rsid w:val="00F5043C"/>
    <w:rsid w:val="00F517CC"/>
    <w:rsid w:val="00F51D8D"/>
    <w:rsid w:val="00F53225"/>
    <w:rsid w:val="00F54DEB"/>
    <w:rsid w:val="00F572FA"/>
    <w:rsid w:val="00F572FB"/>
    <w:rsid w:val="00F574AA"/>
    <w:rsid w:val="00F60632"/>
    <w:rsid w:val="00F60A54"/>
    <w:rsid w:val="00F61BBE"/>
    <w:rsid w:val="00F62E1A"/>
    <w:rsid w:val="00F63A0D"/>
    <w:rsid w:val="00F6578E"/>
    <w:rsid w:val="00F657E3"/>
    <w:rsid w:val="00F66293"/>
    <w:rsid w:val="00F668F9"/>
    <w:rsid w:val="00F706DB"/>
    <w:rsid w:val="00F709E5"/>
    <w:rsid w:val="00F73289"/>
    <w:rsid w:val="00F736C5"/>
    <w:rsid w:val="00F758F0"/>
    <w:rsid w:val="00F7685F"/>
    <w:rsid w:val="00F77DAC"/>
    <w:rsid w:val="00F817CF"/>
    <w:rsid w:val="00F82818"/>
    <w:rsid w:val="00F83D90"/>
    <w:rsid w:val="00F8486E"/>
    <w:rsid w:val="00F85B0B"/>
    <w:rsid w:val="00F86526"/>
    <w:rsid w:val="00F87E3E"/>
    <w:rsid w:val="00F91EE3"/>
    <w:rsid w:val="00F91EFD"/>
    <w:rsid w:val="00F92570"/>
    <w:rsid w:val="00F9302E"/>
    <w:rsid w:val="00F93409"/>
    <w:rsid w:val="00F93D16"/>
    <w:rsid w:val="00F9404A"/>
    <w:rsid w:val="00F94131"/>
    <w:rsid w:val="00F95947"/>
    <w:rsid w:val="00F9677E"/>
    <w:rsid w:val="00F97420"/>
    <w:rsid w:val="00FA20B7"/>
    <w:rsid w:val="00FA2AD1"/>
    <w:rsid w:val="00FA46D6"/>
    <w:rsid w:val="00FA5002"/>
    <w:rsid w:val="00FA68FD"/>
    <w:rsid w:val="00FB2A1C"/>
    <w:rsid w:val="00FB3878"/>
    <w:rsid w:val="00FB3FFD"/>
    <w:rsid w:val="00FB6CAE"/>
    <w:rsid w:val="00FB71FB"/>
    <w:rsid w:val="00FC0BF0"/>
    <w:rsid w:val="00FC2BF9"/>
    <w:rsid w:val="00FC44C8"/>
    <w:rsid w:val="00FC4AE4"/>
    <w:rsid w:val="00FC5538"/>
    <w:rsid w:val="00FC622F"/>
    <w:rsid w:val="00FC6F15"/>
    <w:rsid w:val="00FC7C23"/>
    <w:rsid w:val="00FD01EA"/>
    <w:rsid w:val="00FD0D69"/>
    <w:rsid w:val="00FD15CA"/>
    <w:rsid w:val="00FD1AEC"/>
    <w:rsid w:val="00FD2748"/>
    <w:rsid w:val="00FD35B2"/>
    <w:rsid w:val="00FD5660"/>
    <w:rsid w:val="00FD5851"/>
    <w:rsid w:val="00FD6B93"/>
    <w:rsid w:val="00FE0BCE"/>
    <w:rsid w:val="00FE1590"/>
    <w:rsid w:val="00FE1595"/>
    <w:rsid w:val="00FE5324"/>
    <w:rsid w:val="00FE5347"/>
    <w:rsid w:val="00FE602E"/>
    <w:rsid w:val="00FE6DA7"/>
    <w:rsid w:val="00FE711A"/>
    <w:rsid w:val="00FF43D6"/>
    <w:rsid w:val="00FF6770"/>
    <w:rsid w:val="00FF6FB4"/>
    <w:rsid w:val="00FF76DD"/>
    <w:rsid w:val="00FF774E"/>
    <w:rsid w:val="00FF7F2D"/>
    <w:rsid w:val="0502D34F"/>
    <w:rsid w:val="635CF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D416"/>
  <w15:docId w15:val="{0EAA67F2-C634-40A2-8898-985A84D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lsdException w:name="heading 5" w:semiHidden="1" w:uiPriority="9"/>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qFormat="1"/>
    <w:lsdException w:name="annotation reference" w:semiHidden="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 w:qFormat="1"/>
    <w:lsdException w:name="Salutation" w:semiHidden="1"/>
    <w:lsdException w:name="Date" w:semiHidden="1" w:uiPriority="16" w:unhideWhenUsed="1"/>
    <w:lsdException w:name="Body Text First Indent" w:semiHidden="1" w:uiPriority="9" w:unhideWhenUsed="1"/>
    <w:lsdException w:name="Body Text First Indent 2" w:semiHidden="1" w:uiPriority="9" w:unhideWhenUsed="1"/>
    <w:lsdException w:name="Note Heading" w:semiHidden="1" w:unhideWhenUsed="1" w:qFormat="1"/>
    <w:lsdException w:name="Body Text 3" w:semiHidden="1" w:uiPriority="9"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lsdException w:name="Plain Text" w:semiHidden="1" w:uiPriority="15"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semiHidden="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uiPriority w:val="7"/>
    <w:qFormat/>
    <w:rsid w:val="00297302"/>
  </w:style>
  <w:style w:type="paragraph" w:styleId="Heading1">
    <w:name w:val="heading 1"/>
    <w:basedOn w:val="Normal"/>
    <w:next w:val="Normal"/>
    <w:link w:val="Heading1Char"/>
    <w:uiPriority w:val="6"/>
    <w:qFormat/>
    <w:rsid w:val="005774C0"/>
    <w:pPr>
      <w:keepNext/>
      <w:keepLines/>
      <w:suppressAutoHyphens/>
      <w:spacing w:before="360" w:line="240" w:lineRule="auto"/>
      <w:outlineLvl w:val="0"/>
    </w:pPr>
    <w:rPr>
      <w:rFonts w:asciiTheme="majorHAnsi" w:eastAsiaTheme="majorEastAsia" w:hAnsiTheme="majorHAnsi" w:cstheme="majorBidi"/>
      <w:b/>
      <w:bCs/>
      <w:caps/>
      <w:color w:val="62BB46" w:themeColor="text2"/>
      <w:sz w:val="36"/>
      <w:szCs w:val="28"/>
    </w:rPr>
  </w:style>
  <w:style w:type="paragraph" w:styleId="Heading2">
    <w:name w:val="heading 2"/>
    <w:basedOn w:val="Normal"/>
    <w:next w:val="Normal"/>
    <w:link w:val="Heading2Char"/>
    <w:uiPriority w:val="6"/>
    <w:unhideWhenUsed/>
    <w:qFormat/>
    <w:rsid w:val="005774C0"/>
    <w:pPr>
      <w:keepNext/>
      <w:keepLines/>
      <w:spacing w:before="360" w:line="240" w:lineRule="auto"/>
      <w:outlineLvl w:val="1"/>
    </w:pPr>
    <w:rPr>
      <w:rFonts w:asciiTheme="majorHAnsi" w:eastAsiaTheme="majorEastAsia" w:hAnsiTheme="majorHAnsi" w:cstheme="majorBidi"/>
      <w:b/>
      <w:bCs/>
      <w:color w:val="3D5567" w:themeColor="accent6"/>
      <w:sz w:val="28"/>
      <w:szCs w:val="26"/>
    </w:rPr>
  </w:style>
  <w:style w:type="paragraph" w:styleId="Heading3">
    <w:name w:val="heading 3"/>
    <w:basedOn w:val="Normal"/>
    <w:next w:val="Normal"/>
    <w:link w:val="Heading3Char"/>
    <w:uiPriority w:val="6"/>
    <w:unhideWhenUsed/>
    <w:qFormat/>
    <w:rsid w:val="0077221F"/>
    <w:pPr>
      <w:keepNext/>
      <w:keepLines/>
      <w:spacing w:before="270" w:line="264" w:lineRule="auto"/>
      <w:outlineLvl w:val="2"/>
    </w:pPr>
    <w:rPr>
      <w:rFonts w:asciiTheme="majorHAnsi" w:eastAsiaTheme="majorEastAsia" w:hAnsiTheme="majorHAnsi" w:cstheme="majorBidi"/>
      <w:b/>
      <w:bCs/>
      <w:i/>
      <w:color w:val="595959" w:themeColor="text1" w:themeTint="A6"/>
      <w:sz w:val="24"/>
    </w:rPr>
  </w:style>
  <w:style w:type="paragraph" w:styleId="Heading4">
    <w:name w:val="heading 4"/>
    <w:basedOn w:val="Normal"/>
    <w:next w:val="Normal"/>
    <w:link w:val="Heading4Char"/>
    <w:uiPriority w:val="6"/>
    <w:unhideWhenUsed/>
    <w:rsid w:val="001740A8"/>
    <w:pPr>
      <w:keepNext/>
      <w:keepLines/>
      <w:spacing w:before="270" w:line="266"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6"/>
    <w:unhideWhenUsed/>
    <w:rsid w:val="001740A8"/>
    <w:pPr>
      <w:keepNext/>
      <w:keepLines/>
      <w:spacing w:before="270"/>
      <w:outlineLvl w:val="4"/>
    </w:pPr>
    <w:rPr>
      <w:rFonts w:asciiTheme="majorHAnsi" w:eastAsiaTheme="majorEastAsia" w:hAnsiTheme="majorHAnsi" w:cstheme="majorBidi"/>
    </w:rPr>
  </w:style>
  <w:style w:type="paragraph" w:styleId="Heading6">
    <w:name w:val="heading 6"/>
    <w:basedOn w:val="Normal"/>
    <w:next w:val="Normal"/>
    <w:link w:val="Heading6Char"/>
    <w:uiPriority w:val="6"/>
    <w:semiHidden/>
    <w:unhideWhenUsed/>
    <w:rsid w:val="001740A8"/>
    <w:pPr>
      <w:keepNext/>
      <w:keepLines/>
      <w:spacing w:before="27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6"/>
    <w:semiHidden/>
    <w:unhideWhenUsed/>
    <w:qFormat/>
    <w:rsid w:val="001740A8"/>
    <w:pPr>
      <w:keepNext/>
      <w:keepLines/>
      <w:spacing w:before="27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6"/>
    <w:semiHidden/>
    <w:unhideWhenUsed/>
    <w:qFormat/>
    <w:rsid w:val="001740A8"/>
    <w:pPr>
      <w:keepNext/>
      <w:keepLines/>
      <w:spacing w:before="270" w:after="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6"/>
    <w:semiHidden/>
    <w:unhideWhenUsed/>
    <w:qFormat/>
    <w:rsid w:val="001740A8"/>
    <w:pPr>
      <w:keepNext/>
      <w:keepLines/>
      <w:spacing w:before="27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6"/>
    <w:rsid w:val="006B2DB8"/>
    <w:rPr>
      <w:rFonts w:asciiTheme="majorHAnsi" w:eastAsiaTheme="majorEastAsia" w:hAnsiTheme="majorHAnsi" w:cstheme="majorBidi"/>
      <w:b/>
      <w:bCs/>
      <w:color w:val="3D5567" w:themeColor="accent6"/>
      <w:sz w:val="28"/>
      <w:szCs w:val="26"/>
    </w:rPr>
  </w:style>
  <w:style w:type="paragraph" w:customStyle="1" w:styleId="Author">
    <w:name w:val="Author"/>
    <w:basedOn w:val="Normal"/>
    <w:link w:val="AuthorChar"/>
    <w:uiPriority w:val="2"/>
    <w:qFormat/>
    <w:rsid w:val="004C374D"/>
    <w:pPr>
      <w:keepLines/>
      <w:suppressAutoHyphens/>
      <w:spacing w:before="900" w:after="720" w:line="264" w:lineRule="auto"/>
      <w:contextualSpacing/>
    </w:pPr>
    <w:rPr>
      <w:rFonts w:asciiTheme="majorHAnsi" w:hAnsiTheme="majorHAnsi"/>
      <w:b/>
      <w:color w:val="595959" w:themeColor="text1" w:themeTint="A6"/>
      <w:sz w:val="24"/>
    </w:rPr>
  </w:style>
  <w:style w:type="character" w:customStyle="1" w:styleId="Heading3Char">
    <w:name w:val="Heading 3 Char"/>
    <w:basedOn w:val="DefaultParagraphFont"/>
    <w:link w:val="Heading3"/>
    <w:uiPriority w:val="6"/>
    <w:rsid w:val="006B2DB8"/>
    <w:rPr>
      <w:rFonts w:asciiTheme="majorHAnsi" w:eastAsiaTheme="majorEastAsia" w:hAnsiTheme="majorHAnsi" w:cstheme="majorBidi"/>
      <w:b/>
      <w:bCs/>
      <w:i/>
      <w:color w:val="595959" w:themeColor="text1" w:themeTint="A6"/>
      <w:sz w:val="24"/>
    </w:rPr>
  </w:style>
  <w:style w:type="character" w:customStyle="1" w:styleId="Heading1Char">
    <w:name w:val="Heading 1 Char"/>
    <w:basedOn w:val="DefaultParagraphFont"/>
    <w:link w:val="Heading1"/>
    <w:uiPriority w:val="6"/>
    <w:rsid w:val="005774C0"/>
    <w:rPr>
      <w:rFonts w:asciiTheme="majorHAnsi" w:eastAsiaTheme="majorEastAsia" w:hAnsiTheme="majorHAnsi" w:cstheme="majorBidi"/>
      <w:b/>
      <w:bCs/>
      <w:caps/>
      <w:color w:val="62BB46" w:themeColor="text2"/>
      <w:sz w:val="36"/>
      <w:szCs w:val="28"/>
    </w:rPr>
  </w:style>
  <w:style w:type="paragraph" w:styleId="ListParagraph">
    <w:name w:val="List Paragraph"/>
    <w:basedOn w:val="Normal"/>
    <w:uiPriority w:val="9"/>
    <w:unhideWhenUsed/>
    <w:qFormat/>
    <w:rsid w:val="00893E83"/>
    <w:pPr>
      <w:ind w:left="360"/>
      <w:contextualSpacing/>
    </w:pPr>
  </w:style>
  <w:style w:type="character" w:styleId="Hyperlink">
    <w:name w:val="Hyperlink"/>
    <w:basedOn w:val="DefaultParagraphFont"/>
    <w:uiPriority w:val="99"/>
    <w:qFormat/>
    <w:rsid w:val="00960478"/>
    <w:rPr>
      <w:rFonts w:cs="Times New Roman"/>
      <w:color w:val="0000FF"/>
      <w:u w:val="single"/>
    </w:rPr>
  </w:style>
  <w:style w:type="paragraph" w:styleId="BalloonText">
    <w:name w:val="Balloon Text"/>
    <w:basedOn w:val="Normal"/>
    <w:link w:val="BalloonTextChar"/>
    <w:uiPriority w:val="99"/>
    <w:semiHidden/>
    <w:rsid w:val="00960478"/>
    <w:rPr>
      <w:rFonts w:ascii="Tahoma" w:hAnsi="Tahoma" w:cs="Tahoma"/>
      <w:sz w:val="16"/>
      <w:szCs w:val="16"/>
    </w:rPr>
  </w:style>
  <w:style w:type="character" w:customStyle="1" w:styleId="BalloonTextChar">
    <w:name w:val="Balloon Text Char"/>
    <w:basedOn w:val="DefaultParagraphFont"/>
    <w:link w:val="BalloonText"/>
    <w:uiPriority w:val="99"/>
    <w:semiHidden/>
    <w:rsid w:val="00892F93"/>
    <w:rPr>
      <w:rFonts w:ascii="Tahoma" w:hAnsi="Tahoma" w:cs="Tahoma"/>
      <w:sz w:val="16"/>
      <w:szCs w:val="16"/>
    </w:rPr>
  </w:style>
  <w:style w:type="paragraph" w:styleId="Header">
    <w:name w:val="header"/>
    <w:basedOn w:val="Normal"/>
    <w:link w:val="HeaderChar"/>
    <w:uiPriority w:val="99"/>
    <w:semiHidden/>
    <w:rsid w:val="0022063D"/>
    <w:pPr>
      <w:spacing w:after="0" w:line="240" w:lineRule="auto"/>
      <w:jc w:val="center"/>
    </w:pPr>
    <w:rPr>
      <w:rFonts w:asciiTheme="majorHAnsi" w:eastAsiaTheme="majorEastAsia" w:hAnsiTheme="majorHAnsi"/>
      <w:color w:val="595959" w:themeColor="text1" w:themeTint="A6"/>
      <w:sz w:val="16"/>
    </w:rPr>
  </w:style>
  <w:style w:type="character" w:customStyle="1" w:styleId="HeaderChar">
    <w:name w:val="Header Char"/>
    <w:basedOn w:val="DefaultParagraphFont"/>
    <w:link w:val="Header"/>
    <w:uiPriority w:val="99"/>
    <w:semiHidden/>
    <w:rsid w:val="0022063D"/>
    <w:rPr>
      <w:rFonts w:asciiTheme="majorHAnsi" w:eastAsiaTheme="majorEastAsia" w:hAnsiTheme="majorHAnsi"/>
      <w:color w:val="595959" w:themeColor="text1" w:themeTint="A6"/>
      <w:kern w:val="12"/>
      <w:sz w:val="16"/>
    </w:rPr>
  </w:style>
  <w:style w:type="paragraph" w:styleId="Footer">
    <w:name w:val="footer"/>
    <w:basedOn w:val="Normal"/>
    <w:link w:val="FooterChar"/>
    <w:uiPriority w:val="99"/>
    <w:semiHidden/>
    <w:rsid w:val="008955AA"/>
    <w:pPr>
      <w:spacing w:after="0" w:line="240" w:lineRule="auto"/>
      <w:jc w:val="center"/>
    </w:pPr>
    <w:rPr>
      <w:color w:val="595959" w:themeColor="text1" w:themeTint="A6"/>
      <w:sz w:val="16"/>
    </w:rPr>
  </w:style>
  <w:style w:type="character" w:customStyle="1" w:styleId="FooterChar">
    <w:name w:val="Footer Char"/>
    <w:basedOn w:val="DefaultParagraphFont"/>
    <w:link w:val="Footer"/>
    <w:uiPriority w:val="99"/>
    <w:semiHidden/>
    <w:rsid w:val="006B2DB8"/>
    <w:rPr>
      <w:color w:val="595959" w:themeColor="text1" w:themeTint="A6"/>
      <w:sz w:val="16"/>
    </w:rPr>
  </w:style>
  <w:style w:type="paragraph" w:styleId="Title">
    <w:name w:val="Title"/>
    <w:basedOn w:val="Normal"/>
    <w:next w:val="Normal"/>
    <w:link w:val="TitleChar"/>
    <w:uiPriority w:val="10"/>
    <w:qFormat/>
    <w:rsid w:val="00B55958"/>
    <w:pPr>
      <w:keepNext/>
      <w:keepLines/>
      <w:suppressAutoHyphens/>
      <w:spacing w:line="240" w:lineRule="auto"/>
    </w:pPr>
    <w:rPr>
      <w:rFonts w:asciiTheme="majorHAnsi" w:eastAsiaTheme="majorEastAsia" w:hAnsiTheme="majorHAnsi"/>
      <w:b/>
      <w:color w:val="62BB46" w:themeColor="text2"/>
      <w:kern w:val="12"/>
      <w:sz w:val="48"/>
      <w:szCs w:val="48"/>
    </w:rPr>
  </w:style>
  <w:style w:type="character" w:customStyle="1" w:styleId="TitleChar">
    <w:name w:val="Title Char"/>
    <w:basedOn w:val="DefaultParagraphFont"/>
    <w:link w:val="Title"/>
    <w:uiPriority w:val="10"/>
    <w:rsid w:val="00B55958"/>
    <w:rPr>
      <w:rFonts w:asciiTheme="majorHAnsi" w:eastAsiaTheme="majorEastAsia" w:hAnsiTheme="majorHAnsi"/>
      <w:b/>
      <w:color w:val="62BB46" w:themeColor="text2"/>
      <w:kern w:val="12"/>
      <w:sz w:val="48"/>
      <w:szCs w:val="48"/>
    </w:rPr>
  </w:style>
  <w:style w:type="paragraph" w:styleId="Subtitle">
    <w:name w:val="Subtitle"/>
    <w:basedOn w:val="Normal"/>
    <w:next w:val="Normal"/>
    <w:link w:val="SubtitleChar"/>
    <w:uiPriority w:val="1"/>
    <w:qFormat/>
    <w:rsid w:val="00A31CCB"/>
    <w:pPr>
      <w:keepNext/>
      <w:keepLines/>
      <w:numPr>
        <w:ilvl w:val="1"/>
      </w:numPr>
      <w:suppressAutoHyphens/>
      <w:spacing w:line="240" w:lineRule="auto"/>
    </w:pPr>
    <w:rPr>
      <w:rFonts w:asciiTheme="majorHAnsi" w:eastAsiaTheme="majorEastAsia" w:hAnsiTheme="majorHAnsi" w:cstheme="majorBidi"/>
      <w:b/>
      <w:iCs/>
      <w:color w:val="3D5567" w:themeColor="accent6"/>
      <w:kern w:val="12"/>
      <w:sz w:val="36"/>
    </w:rPr>
  </w:style>
  <w:style w:type="character" w:customStyle="1" w:styleId="SubtitleChar">
    <w:name w:val="Subtitle Char"/>
    <w:basedOn w:val="DefaultParagraphFont"/>
    <w:link w:val="Subtitle"/>
    <w:uiPriority w:val="1"/>
    <w:rsid w:val="00A31CCB"/>
    <w:rPr>
      <w:rFonts w:asciiTheme="majorHAnsi" w:eastAsiaTheme="majorEastAsia" w:hAnsiTheme="majorHAnsi" w:cstheme="majorBidi"/>
      <w:b/>
      <w:iCs/>
      <w:color w:val="3D5567" w:themeColor="accent6"/>
      <w:kern w:val="12"/>
      <w:sz w:val="36"/>
    </w:rPr>
  </w:style>
  <w:style w:type="paragraph" w:styleId="NormalWeb">
    <w:name w:val="Normal (Web)"/>
    <w:basedOn w:val="Normal"/>
    <w:uiPriority w:val="99"/>
    <w:semiHidden/>
    <w:rsid w:val="00D25ABD"/>
    <w:pPr>
      <w:spacing w:before="100" w:beforeAutospacing="1" w:after="100" w:afterAutospacing="1"/>
    </w:pPr>
  </w:style>
  <w:style w:type="table" w:styleId="TableGrid">
    <w:name w:val="Table Grid"/>
    <w:basedOn w:val="TableNormal"/>
    <w:uiPriority w:val="39"/>
    <w:rsid w:val="002D4F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D57C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next w:val="BodyTextIndent"/>
    <w:link w:val="BodyTextChar"/>
    <w:uiPriority w:val="8"/>
    <w:semiHidden/>
    <w:qFormat/>
    <w:rsid w:val="003A7130"/>
    <w:pPr>
      <w:spacing w:after="0"/>
    </w:pPr>
  </w:style>
  <w:style w:type="character" w:customStyle="1" w:styleId="BodyTextChar">
    <w:name w:val="Body Text Char"/>
    <w:basedOn w:val="DefaultParagraphFont"/>
    <w:link w:val="BodyText"/>
    <w:uiPriority w:val="8"/>
    <w:semiHidden/>
    <w:rsid w:val="006B2DB8"/>
  </w:style>
  <w:style w:type="character" w:customStyle="1" w:styleId="Heading4Char">
    <w:name w:val="Heading 4 Char"/>
    <w:basedOn w:val="DefaultParagraphFont"/>
    <w:link w:val="Heading4"/>
    <w:uiPriority w:val="6"/>
    <w:rsid w:val="001740A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6"/>
    <w:rsid w:val="001740A8"/>
    <w:rPr>
      <w:rFonts w:asciiTheme="majorHAnsi" w:eastAsiaTheme="majorEastAsia" w:hAnsiTheme="majorHAnsi" w:cstheme="majorBidi"/>
    </w:rPr>
  </w:style>
  <w:style w:type="character" w:styleId="EndnoteReference">
    <w:name w:val="endnote reference"/>
    <w:basedOn w:val="FootnoteReference"/>
    <w:uiPriority w:val="14"/>
    <w:qFormat/>
    <w:rsid w:val="008B427F"/>
    <w:rPr>
      <w:vertAlign w:val="superscript"/>
    </w:rPr>
  </w:style>
  <w:style w:type="paragraph" w:styleId="TOC4">
    <w:name w:val="toc 4"/>
    <w:basedOn w:val="TOC1"/>
    <w:next w:val="Normal"/>
    <w:uiPriority w:val="4"/>
    <w:semiHidden/>
    <w:unhideWhenUsed/>
    <w:rsid w:val="00AA7419"/>
    <w:pPr>
      <w:ind w:left="1080"/>
    </w:pPr>
    <w:rPr>
      <w:b w:val="0"/>
    </w:rPr>
  </w:style>
  <w:style w:type="character" w:styleId="UnresolvedMention">
    <w:name w:val="Unresolved Mention"/>
    <w:basedOn w:val="DefaultParagraphFont"/>
    <w:uiPriority w:val="99"/>
    <w:semiHidden/>
    <w:rsid w:val="00952FEA"/>
    <w:rPr>
      <w:color w:val="808080"/>
      <w:shd w:val="clear" w:color="auto" w:fill="E6E6E6"/>
    </w:rPr>
  </w:style>
  <w:style w:type="character" w:styleId="Strong">
    <w:name w:val="Strong"/>
    <w:basedOn w:val="DefaultParagraphFont"/>
    <w:uiPriority w:val="22"/>
    <w:qFormat/>
    <w:rsid w:val="00AD3960"/>
    <w:rPr>
      <w:b/>
      <w:bCs/>
    </w:rPr>
  </w:style>
  <w:style w:type="paragraph" w:styleId="TOC5">
    <w:name w:val="toc 5"/>
    <w:basedOn w:val="TOC1"/>
    <w:next w:val="Normal"/>
    <w:uiPriority w:val="4"/>
    <w:semiHidden/>
    <w:unhideWhenUsed/>
    <w:rsid w:val="00AA7419"/>
    <w:pPr>
      <w:ind w:left="1440"/>
    </w:pPr>
    <w:rPr>
      <w:b w:val="0"/>
    </w:rPr>
  </w:style>
  <w:style w:type="character" w:styleId="IntenseEmphasis">
    <w:name w:val="Intense Emphasis"/>
    <w:basedOn w:val="DefaultParagraphFont"/>
    <w:uiPriority w:val="99"/>
    <w:semiHidden/>
    <w:rsid w:val="00F35064"/>
    <w:rPr>
      <w:i/>
      <w:iCs/>
      <w:color w:val="00AE9A" w:themeColor="accent1"/>
    </w:rPr>
  </w:style>
  <w:style w:type="paragraph" w:styleId="IntenseQuote">
    <w:name w:val="Intense Quote"/>
    <w:basedOn w:val="Normal"/>
    <w:next w:val="Normal"/>
    <w:link w:val="IntenseQuoteChar"/>
    <w:uiPriority w:val="99"/>
    <w:semiHidden/>
    <w:rsid w:val="00F35064"/>
    <w:pPr>
      <w:pBdr>
        <w:top w:val="single" w:sz="4" w:space="10" w:color="00AE9A" w:themeColor="accent1"/>
        <w:bottom w:val="single" w:sz="4" w:space="10" w:color="00AE9A" w:themeColor="accent1"/>
      </w:pBdr>
      <w:spacing w:before="360" w:after="360"/>
      <w:ind w:left="864" w:right="864"/>
      <w:jc w:val="center"/>
    </w:pPr>
    <w:rPr>
      <w:i/>
      <w:iCs/>
      <w:color w:val="00AE9A" w:themeColor="accent1"/>
    </w:rPr>
  </w:style>
  <w:style w:type="character" w:customStyle="1" w:styleId="IntenseQuoteChar">
    <w:name w:val="Intense Quote Char"/>
    <w:basedOn w:val="DefaultParagraphFont"/>
    <w:link w:val="IntenseQuote"/>
    <w:uiPriority w:val="99"/>
    <w:semiHidden/>
    <w:rsid w:val="006B2DB8"/>
    <w:rPr>
      <w:i/>
      <w:iCs/>
      <w:color w:val="00AE9A" w:themeColor="accent1"/>
    </w:rPr>
  </w:style>
  <w:style w:type="character" w:styleId="Emphasis">
    <w:name w:val="Emphasis"/>
    <w:basedOn w:val="DefaultParagraphFont"/>
    <w:uiPriority w:val="15"/>
    <w:qFormat/>
    <w:rsid w:val="00F35064"/>
    <w:rPr>
      <w:i/>
      <w:iCs/>
    </w:rPr>
  </w:style>
  <w:style w:type="paragraph" w:styleId="FootnoteText">
    <w:name w:val="footnote text"/>
    <w:basedOn w:val="Normal"/>
    <w:link w:val="FootnoteTextChar"/>
    <w:uiPriority w:val="99"/>
    <w:qFormat/>
    <w:rsid w:val="00254239"/>
    <w:pPr>
      <w:spacing w:before="90" w:after="0" w:line="240" w:lineRule="auto"/>
    </w:pPr>
    <w:rPr>
      <w:sz w:val="16"/>
    </w:rPr>
  </w:style>
  <w:style w:type="character" w:customStyle="1" w:styleId="FootnoteTextChar">
    <w:name w:val="Footnote Text Char"/>
    <w:basedOn w:val="DefaultParagraphFont"/>
    <w:link w:val="FootnoteText"/>
    <w:uiPriority w:val="99"/>
    <w:rsid w:val="00AC7F87"/>
    <w:rPr>
      <w:kern w:val="12"/>
      <w:sz w:val="16"/>
    </w:rPr>
  </w:style>
  <w:style w:type="character" w:styleId="FootnoteReference">
    <w:name w:val="footnote reference"/>
    <w:basedOn w:val="DefaultParagraphFont"/>
    <w:uiPriority w:val="99"/>
    <w:qFormat/>
    <w:rsid w:val="007C4F89"/>
    <w:rPr>
      <w:vertAlign w:val="superscript"/>
    </w:rPr>
  </w:style>
  <w:style w:type="paragraph" w:styleId="TOC6">
    <w:name w:val="toc 6"/>
    <w:basedOn w:val="TOC1"/>
    <w:next w:val="Normal"/>
    <w:uiPriority w:val="4"/>
    <w:semiHidden/>
    <w:unhideWhenUsed/>
    <w:rsid w:val="00AA7419"/>
    <w:pPr>
      <w:ind w:left="1800"/>
    </w:pPr>
    <w:rPr>
      <w:b w:val="0"/>
    </w:rPr>
  </w:style>
  <w:style w:type="paragraph" w:styleId="ListBullet3">
    <w:name w:val="List Bullet 3"/>
    <w:basedOn w:val="Normal"/>
    <w:uiPriority w:val="10"/>
    <w:unhideWhenUsed/>
    <w:rsid w:val="004E7C21"/>
    <w:pPr>
      <w:numPr>
        <w:ilvl w:val="2"/>
        <w:numId w:val="1"/>
      </w:numPr>
      <w:contextualSpacing/>
    </w:pPr>
  </w:style>
  <w:style w:type="paragraph" w:styleId="ListBullet4">
    <w:name w:val="List Bullet 4"/>
    <w:basedOn w:val="Normal"/>
    <w:uiPriority w:val="10"/>
    <w:unhideWhenUsed/>
    <w:rsid w:val="00C467B2"/>
    <w:pPr>
      <w:numPr>
        <w:ilvl w:val="3"/>
        <w:numId w:val="1"/>
      </w:numPr>
      <w:contextualSpacing/>
    </w:pPr>
  </w:style>
  <w:style w:type="paragraph" w:styleId="TOCHeading">
    <w:name w:val="TOC Heading"/>
    <w:basedOn w:val="Normal"/>
    <w:next w:val="Normal"/>
    <w:uiPriority w:val="39"/>
    <w:qFormat/>
    <w:rsid w:val="00394CC6"/>
    <w:pPr>
      <w:keepNext/>
      <w:pBdr>
        <w:top w:val="single" w:sz="8" w:space="7" w:color="3D5567" w:themeColor="accent6"/>
      </w:pBdr>
      <w:spacing w:line="240" w:lineRule="auto"/>
    </w:pPr>
    <w:rPr>
      <w:rFonts w:asciiTheme="majorHAnsi" w:eastAsiaTheme="majorEastAsia" w:hAnsiTheme="majorHAnsi"/>
      <w:b/>
      <w:bCs/>
      <w:caps/>
      <w:color w:val="62BB46" w:themeColor="text2"/>
      <w:sz w:val="28"/>
      <w:szCs w:val="32"/>
    </w:rPr>
  </w:style>
  <w:style w:type="paragraph" w:styleId="TOC1">
    <w:name w:val="toc 1"/>
    <w:basedOn w:val="Normal"/>
    <w:uiPriority w:val="39"/>
    <w:rsid w:val="004C35E1"/>
    <w:rPr>
      <w:b/>
    </w:rPr>
  </w:style>
  <w:style w:type="paragraph" w:styleId="TOC2">
    <w:name w:val="toc 2"/>
    <w:basedOn w:val="TOC1"/>
    <w:uiPriority w:val="39"/>
    <w:unhideWhenUsed/>
    <w:rsid w:val="004C35E1"/>
    <w:pPr>
      <w:ind w:left="360"/>
    </w:pPr>
    <w:rPr>
      <w:b w:val="0"/>
    </w:rPr>
  </w:style>
  <w:style w:type="paragraph" w:styleId="TOC3">
    <w:name w:val="toc 3"/>
    <w:basedOn w:val="TOC1"/>
    <w:uiPriority w:val="39"/>
    <w:unhideWhenUsed/>
    <w:rsid w:val="004C35E1"/>
    <w:pPr>
      <w:ind w:left="720"/>
    </w:pPr>
    <w:rPr>
      <w:b w:val="0"/>
    </w:rPr>
  </w:style>
  <w:style w:type="paragraph" w:styleId="TableofFigures">
    <w:name w:val="table of figures"/>
    <w:basedOn w:val="TOC1"/>
    <w:uiPriority w:val="99"/>
    <w:rsid w:val="00693E60"/>
  </w:style>
  <w:style w:type="paragraph" w:styleId="EndnoteText">
    <w:name w:val="endnote text"/>
    <w:basedOn w:val="Normal"/>
    <w:link w:val="EndnoteTextChar"/>
    <w:uiPriority w:val="14"/>
    <w:qFormat/>
    <w:rsid w:val="00AF32D1"/>
    <w:pPr>
      <w:spacing w:after="90" w:line="240" w:lineRule="auto"/>
    </w:pPr>
    <w:rPr>
      <w:sz w:val="16"/>
    </w:rPr>
  </w:style>
  <w:style w:type="character" w:customStyle="1" w:styleId="EndnoteTextChar">
    <w:name w:val="Endnote Text Char"/>
    <w:basedOn w:val="DefaultParagraphFont"/>
    <w:link w:val="EndnoteText"/>
    <w:uiPriority w:val="14"/>
    <w:rsid w:val="00AC7F87"/>
    <w:rPr>
      <w:kern w:val="12"/>
      <w:sz w:val="16"/>
    </w:rPr>
  </w:style>
  <w:style w:type="paragraph" w:styleId="ListBullet">
    <w:name w:val="List Bullet"/>
    <w:basedOn w:val="Normal"/>
    <w:uiPriority w:val="10"/>
    <w:qFormat/>
    <w:rsid w:val="00CB70F4"/>
    <w:pPr>
      <w:numPr>
        <w:numId w:val="1"/>
      </w:numPr>
    </w:pPr>
  </w:style>
  <w:style w:type="paragraph" w:styleId="ListBullet2">
    <w:name w:val="List Bullet 2"/>
    <w:basedOn w:val="Normal"/>
    <w:uiPriority w:val="10"/>
    <w:unhideWhenUsed/>
    <w:rsid w:val="004E7C21"/>
    <w:pPr>
      <w:numPr>
        <w:ilvl w:val="1"/>
        <w:numId w:val="1"/>
      </w:numPr>
    </w:pPr>
  </w:style>
  <w:style w:type="paragraph" w:styleId="ListNumber">
    <w:name w:val="List Number"/>
    <w:basedOn w:val="Normal"/>
    <w:uiPriority w:val="11"/>
    <w:qFormat/>
    <w:rsid w:val="0069556E"/>
    <w:pPr>
      <w:numPr>
        <w:numId w:val="2"/>
      </w:numPr>
    </w:pPr>
  </w:style>
  <w:style w:type="paragraph" w:styleId="ListNumber2">
    <w:name w:val="List Number 2"/>
    <w:basedOn w:val="Normal"/>
    <w:uiPriority w:val="11"/>
    <w:unhideWhenUsed/>
    <w:rsid w:val="0069556E"/>
    <w:pPr>
      <w:numPr>
        <w:ilvl w:val="1"/>
        <w:numId w:val="2"/>
      </w:numPr>
    </w:pPr>
  </w:style>
  <w:style w:type="paragraph" w:styleId="Bibliography">
    <w:name w:val="Bibliography"/>
    <w:basedOn w:val="Normal"/>
    <w:uiPriority w:val="13"/>
    <w:qFormat/>
    <w:rsid w:val="00C42124"/>
    <w:pPr>
      <w:spacing w:before="90" w:after="90" w:line="240" w:lineRule="auto"/>
      <w:ind w:left="360" w:hanging="360"/>
    </w:pPr>
    <w:rPr>
      <w:sz w:val="16"/>
    </w:rPr>
  </w:style>
  <w:style w:type="paragraph" w:styleId="TOC7">
    <w:name w:val="toc 7"/>
    <w:basedOn w:val="TOC1"/>
    <w:next w:val="Normal"/>
    <w:uiPriority w:val="4"/>
    <w:semiHidden/>
    <w:unhideWhenUsed/>
    <w:rsid w:val="00AA7419"/>
    <w:pPr>
      <w:ind w:left="2160"/>
    </w:pPr>
    <w:rPr>
      <w:b w:val="0"/>
    </w:rPr>
  </w:style>
  <w:style w:type="paragraph" w:styleId="TOC8">
    <w:name w:val="toc 8"/>
    <w:basedOn w:val="TOC1"/>
    <w:next w:val="Normal"/>
    <w:uiPriority w:val="4"/>
    <w:semiHidden/>
    <w:unhideWhenUsed/>
    <w:rsid w:val="00AA7419"/>
    <w:pPr>
      <w:ind w:left="2520"/>
    </w:pPr>
    <w:rPr>
      <w:b w:val="0"/>
    </w:rPr>
  </w:style>
  <w:style w:type="paragraph" w:styleId="TOC9">
    <w:name w:val="toc 9"/>
    <w:basedOn w:val="TOC1"/>
    <w:next w:val="Normal"/>
    <w:uiPriority w:val="4"/>
    <w:semiHidden/>
    <w:unhideWhenUsed/>
    <w:rsid w:val="00AA7419"/>
    <w:pPr>
      <w:ind w:left="2880"/>
    </w:pPr>
    <w:rPr>
      <w:b w:val="0"/>
    </w:rPr>
  </w:style>
  <w:style w:type="character" w:styleId="PlaceholderText">
    <w:name w:val="Placeholder Text"/>
    <w:basedOn w:val="DefaultParagraphFont"/>
    <w:uiPriority w:val="99"/>
    <w:semiHidden/>
    <w:rsid w:val="005D195D"/>
    <w:rPr>
      <w:color w:val="808080"/>
    </w:rPr>
  </w:style>
  <w:style w:type="paragraph" w:styleId="Caption">
    <w:name w:val="caption"/>
    <w:basedOn w:val="Normal"/>
    <w:next w:val="Normal"/>
    <w:link w:val="CaptionChar"/>
    <w:uiPriority w:val="35"/>
    <w:qFormat/>
    <w:rsid w:val="00540825"/>
    <w:pPr>
      <w:keepNext/>
      <w:keepLines/>
      <w:spacing w:before="270" w:line="264" w:lineRule="auto"/>
    </w:pPr>
    <w:rPr>
      <w:rFonts w:asciiTheme="majorHAnsi" w:eastAsiaTheme="majorEastAsia" w:hAnsiTheme="majorHAnsi"/>
      <w:b/>
      <w:iCs/>
      <w:color w:val="3D5567" w:themeColor="accent6"/>
      <w:sz w:val="24"/>
      <w:szCs w:val="18"/>
    </w:rPr>
  </w:style>
  <w:style w:type="paragraph" w:styleId="BodyText2">
    <w:name w:val="Body Text 2"/>
    <w:basedOn w:val="Normal"/>
    <w:link w:val="BodyText2Char"/>
    <w:uiPriority w:val="9"/>
    <w:semiHidden/>
    <w:rsid w:val="0019017D"/>
    <w:pPr>
      <w:spacing w:line="480" w:lineRule="auto"/>
    </w:pPr>
  </w:style>
  <w:style w:type="character" w:customStyle="1" w:styleId="BodyText2Char">
    <w:name w:val="Body Text 2 Char"/>
    <w:basedOn w:val="DefaultParagraphFont"/>
    <w:link w:val="BodyText2"/>
    <w:uiPriority w:val="9"/>
    <w:semiHidden/>
    <w:rsid w:val="006B2DB8"/>
  </w:style>
  <w:style w:type="paragraph" w:styleId="NormalIndent">
    <w:name w:val="Normal Indent"/>
    <w:basedOn w:val="Normal"/>
    <w:uiPriority w:val="99"/>
    <w:semiHidden/>
    <w:rsid w:val="005B1D4E"/>
    <w:pPr>
      <w:ind w:left="360"/>
    </w:pPr>
  </w:style>
  <w:style w:type="paragraph" w:styleId="BlockText">
    <w:name w:val="Block Text"/>
    <w:basedOn w:val="Normal"/>
    <w:uiPriority w:val="99"/>
    <w:semiHidden/>
    <w:rsid w:val="005B1D4E"/>
    <w:pPr>
      <w:pBdr>
        <w:top w:val="single" w:sz="2" w:space="10" w:color="00AE9A" w:themeColor="accent1"/>
        <w:left w:val="single" w:sz="2" w:space="10" w:color="00AE9A" w:themeColor="accent1"/>
        <w:bottom w:val="single" w:sz="2" w:space="10" w:color="00AE9A" w:themeColor="accent1"/>
        <w:right w:val="single" w:sz="2" w:space="10" w:color="00AE9A" w:themeColor="accent1"/>
      </w:pBdr>
      <w:ind w:left="1152" w:right="1152"/>
    </w:pPr>
    <w:rPr>
      <w:i/>
      <w:iCs/>
      <w:color w:val="00AE9A" w:themeColor="accent1"/>
    </w:rPr>
  </w:style>
  <w:style w:type="paragraph" w:styleId="NoSpacing">
    <w:name w:val="No Spacing"/>
    <w:link w:val="NoSpacingChar"/>
    <w:uiPriority w:val="1"/>
    <w:semiHidden/>
    <w:qFormat/>
    <w:rsid w:val="00013DF0"/>
    <w:pPr>
      <w:spacing w:after="0" w:line="240" w:lineRule="auto"/>
    </w:pPr>
    <w:rPr>
      <w:rFonts w:cs="Times New Roman"/>
      <w:szCs w:val="24"/>
    </w:rPr>
  </w:style>
  <w:style w:type="paragraph" w:styleId="NoteHeading">
    <w:name w:val="Note Heading"/>
    <w:basedOn w:val="Normal"/>
    <w:next w:val="Normal"/>
    <w:link w:val="NoteHeadingChar"/>
    <w:uiPriority w:val="12"/>
    <w:qFormat/>
    <w:rsid w:val="00D85AB3"/>
    <w:pPr>
      <w:keepNext/>
      <w:pBdr>
        <w:top w:val="single" w:sz="8" w:space="6" w:color="3D5567" w:themeColor="accent6"/>
      </w:pBdr>
      <w:spacing w:before="360" w:line="264" w:lineRule="auto"/>
      <w:outlineLvl w:val="0"/>
    </w:pPr>
    <w:rPr>
      <w:rFonts w:asciiTheme="majorHAnsi" w:eastAsiaTheme="majorEastAsia" w:hAnsiTheme="majorHAnsi"/>
      <w:b/>
      <w:caps/>
      <w:color w:val="3D5567" w:themeColor="accent6"/>
      <w:sz w:val="24"/>
    </w:rPr>
  </w:style>
  <w:style w:type="character" w:customStyle="1" w:styleId="NoteHeadingChar">
    <w:name w:val="Note Heading Char"/>
    <w:basedOn w:val="DefaultParagraphFont"/>
    <w:link w:val="NoteHeading"/>
    <w:uiPriority w:val="12"/>
    <w:rsid w:val="00D85AB3"/>
    <w:rPr>
      <w:rFonts w:asciiTheme="majorHAnsi" w:eastAsiaTheme="majorEastAsia" w:hAnsiTheme="majorHAnsi"/>
      <w:b/>
      <w:caps/>
      <w:color w:val="3D5567" w:themeColor="accent6"/>
      <w:sz w:val="24"/>
    </w:rPr>
  </w:style>
  <w:style w:type="character" w:styleId="PageNumber">
    <w:name w:val="page number"/>
    <w:basedOn w:val="DefaultParagraphFont"/>
    <w:uiPriority w:val="99"/>
    <w:semiHidden/>
    <w:rsid w:val="00A311E0"/>
  </w:style>
  <w:style w:type="paragraph" w:styleId="PlainText">
    <w:name w:val="Plain Text"/>
    <w:basedOn w:val="Normal"/>
    <w:link w:val="PlainTextChar"/>
    <w:uiPriority w:val="15"/>
    <w:semiHidden/>
    <w:rsid w:val="00162A81"/>
    <w:pPr>
      <w:spacing w:after="0" w:line="240" w:lineRule="auto"/>
    </w:pPr>
    <w:rPr>
      <w:szCs w:val="21"/>
    </w:rPr>
  </w:style>
  <w:style w:type="character" w:customStyle="1" w:styleId="PlainTextChar">
    <w:name w:val="Plain Text Char"/>
    <w:basedOn w:val="DefaultParagraphFont"/>
    <w:link w:val="PlainText"/>
    <w:uiPriority w:val="15"/>
    <w:semiHidden/>
    <w:rsid w:val="006B2DB8"/>
    <w:rPr>
      <w:szCs w:val="21"/>
    </w:rPr>
  </w:style>
  <w:style w:type="paragraph" w:styleId="BodyTextIndent">
    <w:name w:val="Body Text Indent"/>
    <w:basedOn w:val="BodyText"/>
    <w:link w:val="BodyTextIndentChar"/>
    <w:uiPriority w:val="8"/>
    <w:semiHidden/>
    <w:qFormat/>
    <w:rsid w:val="004356A9"/>
    <w:pPr>
      <w:spacing w:after="180"/>
      <w:ind w:firstLine="360"/>
      <w:contextualSpacing/>
    </w:pPr>
  </w:style>
  <w:style w:type="character" w:customStyle="1" w:styleId="BodyTextIndentChar">
    <w:name w:val="Body Text Indent Char"/>
    <w:basedOn w:val="DefaultParagraphFont"/>
    <w:link w:val="BodyTextIndent"/>
    <w:uiPriority w:val="8"/>
    <w:semiHidden/>
    <w:rsid w:val="006B2DB8"/>
  </w:style>
  <w:style w:type="paragraph" w:customStyle="1" w:styleId="NoteSource">
    <w:name w:val="Note/Source"/>
    <w:basedOn w:val="Normal"/>
    <w:uiPriority w:val="13"/>
    <w:qFormat/>
    <w:rsid w:val="001A65EE"/>
    <w:pPr>
      <w:spacing w:before="90" w:after="90" w:line="240" w:lineRule="auto"/>
    </w:pPr>
    <w:rPr>
      <w:sz w:val="16"/>
    </w:rPr>
  </w:style>
  <w:style w:type="paragraph" w:styleId="Index1">
    <w:name w:val="index 1"/>
    <w:basedOn w:val="Normal"/>
    <w:next w:val="Normal"/>
    <w:uiPriority w:val="99"/>
    <w:semiHidden/>
    <w:unhideWhenUsed/>
    <w:rsid w:val="00AA7419"/>
    <w:pPr>
      <w:ind w:left="360" w:hanging="360"/>
    </w:pPr>
  </w:style>
  <w:style w:type="paragraph" w:customStyle="1" w:styleId="Boilerplate">
    <w:name w:val="Boilerplate"/>
    <w:uiPriority w:val="16"/>
    <w:semiHidden/>
    <w:rsid w:val="00CF4096"/>
    <w:pPr>
      <w:suppressAutoHyphens/>
      <w:spacing w:before="120" w:after="0"/>
      <w:jc w:val="center"/>
    </w:pPr>
    <w:rPr>
      <w:rFonts w:ascii="Arial" w:eastAsia="SimHei" w:hAnsi="Arial"/>
      <w:color w:val="FFFFFF" w:themeColor="background1"/>
      <w:kern w:val="12"/>
      <w:sz w:val="16"/>
    </w:rPr>
  </w:style>
  <w:style w:type="table" w:styleId="PlainTable4">
    <w:name w:val="Plain Table 4"/>
    <w:basedOn w:val="TableNormal"/>
    <w:uiPriority w:val="44"/>
    <w:rsid w:val="00FE53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semiHidden/>
    <w:rsid w:val="006B2DB8"/>
    <w:rPr>
      <w:rFonts w:cs="Times New Roman"/>
      <w:szCs w:val="24"/>
    </w:rPr>
  </w:style>
  <w:style w:type="table" w:customStyle="1" w:styleId="IFPRITableStyle">
    <w:name w:val="IFPRI Table Style"/>
    <w:basedOn w:val="TableNormal"/>
    <w:uiPriority w:val="99"/>
    <w:rsid w:val="009C6F13"/>
    <w:pPr>
      <w:spacing w:after="0" w:line="240" w:lineRule="auto"/>
      <w:jc w:val="center"/>
    </w:pPr>
    <w:rPr>
      <w:sz w:val="16"/>
    </w:rPr>
    <w:tblPr>
      <w:tblStyleRowBandSize w:val="1"/>
      <w:tblStyleColBandSize w:val="1"/>
      <w:tblBorders>
        <w:bottom w:val="single" w:sz="8" w:space="0" w:color="3D5567" w:themeColor="accent6"/>
      </w:tblBorders>
      <w:tblCellMar>
        <w:top w:w="101" w:type="dxa"/>
        <w:left w:w="115" w:type="dxa"/>
        <w:bottom w:w="101" w:type="dxa"/>
        <w:right w:w="115" w:type="dxa"/>
      </w:tblCellMar>
    </w:tblPr>
    <w:tblStylePr w:type="firstRow">
      <w:pPr>
        <w:jc w:val="center"/>
      </w:pPr>
      <w:rPr>
        <w:rFonts w:asciiTheme="minorHAnsi" w:hAnsiTheme="minorHAnsi"/>
        <w:b/>
        <w:color w:val="FFFFFF" w:themeColor="background1"/>
      </w:rPr>
      <w:tblPr/>
      <w:tcPr>
        <w:shd w:val="clear" w:color="auto" w:fill="3D5567" w:themeFill="accent6"/>
        <w:vAlign w:val="bottom"/>
      </w:tcPr>
    </w:tblStylePr>
    <w:tblStylePr w:type="firstCol">
      <w:pPr>
        <w:jc w:val="left"/>
      </w:pPr>
      <w:rPr>
        <w:b/>
      </w:rPr>
    </w:tblStylePr>
    <w:tblStylePr w:type="band1Horz">
      <w:tblPr/>
      <w:tcPr>
        <w:shd w:val="clear" w:color="auto" w:fill="F3F7D5" w:themeFill="background2" w:themeFillTint="33"/>
      </w:tcPr>
    </w:tblStylePr>
    <w:tblStylePr w:type="nwCell">
      <w:pPr>
        <w:jc w:val="left"/>
      </w:pPr>
      <w:tblPr/>
      <w:tcPr>
        <w:vAlign w:val="bottom"/>
      </w:tcPr>
    </w:tblStylePr>
  </w:style>
  <w:style w:type="paragraph" w:styleId="ListBullet5">
    <w:name w:val="List Bullet 5"/>
    <w:basedOn w:val="Normal"/>
    <w:uiPriority w:val="10"/>
    <w:unhideWhenUsed/>
    <w:rsid w:val="0026363D"/>
    <w:pPr>
      <w:numPr>
        <w:ilvl w:val="4"/>
        <w:numId w:val="1"/>
      </w:numPr>
      <w:contextualSpacing/>
    </w:pPr>
  </w:style>
  <w:style w:type="paragraph" w:styleId="ListNumber3">
    <w:name w:val="List Number 3"/>
    <w:basedOn w:val="Normal"/>
    <w:uiPriority w:val="11"/>
    <w:semiHidden/>
    <w:unhideWhenUsed/>
    <w:rsid w:val="00A126E5"/>
    <w:pPr>
      <w:numPr>
        <w:ilvl w:val="2"/>
        <w:numId w:val="2"/>
      </w:numPr>
      <w:contextualSpacing/>
    </w:pPr>
  </w:style>
  <w:style w:type="paragraph" w:styleId="ListNumber4">
    <w:name w:val="List Number 4"/>
    <w:basedOn w:val="Normal"/>
    <w:uiPriority w:val="11"/>
    <w:semiHidden/>
    <w:unhideWhenUsed/>
    <w:rsid w:val="00A126E5"/>
    <w:pPr>
      <w:numPr>
        <w:ilvl w:val="3"/>
        <w:numId w:val="2"/>
      </w:numPr>
      <w:contextualSpacing/>
    </w:pPr>
  </w:style>
  <w:style w:type="paragraph" w:styleId="ListNumber5">
    <w:name w:val="List Number 5"/>
    <w:basedOn w:val="Normal"/>
    <w:uiPriority w:val="11"/>
    <w:semiHidden/>
    <w:unhideWhenUsed/>
    <w:rsid w:val="00A126E5"/>
    <w:pPr>
      <w:numPr>
        <w:ilvl w:val="4"/>
        <w:numId w:val="2"/>
      </w:numPr>
      <w:contextualSpacing/>
    </w:pPr>
  </w:style>
  <w:style w:type="character" w:styleId="SmartHyperlink">
    <w:name w:val="Smart Hyperlink"/>
    <w:basedOn w:val="DefaultParagraphFont"/>
    <w:uiPriority w:val="99"/>
    <w:semiHidden/>
    <w:rsid w:val="00913B16"/>
    <w:rPr>
      <w:u w:val="dotted"/>
    </w:rPr>
  </w:style>
  <w:style w:type="character" w:styleId="FollowedHyperlink">
    <w:name w:val="FollowedHyperlink"/>
    <w:basedOn w:val="DefaultParagraphFont"/>
    <w:uiPriority w:val="99"/>
    <w:semiHidden/>
    <w:unhideWhenUsed/>
    <w:rsid w:val="00457679"/>
    <w:rPr>
      <w:color w:val="800080" w:themeColor="followedHyperlink"/>
      <w:u w:val="single"/>
    </w:rPr>
  </w:style>
  <w:style w:type="character" w:customStyle="1" w:styleId="AuthorChar">
    <w:name w:val="Author Char"/>
    <w:basedOn w:val="DefaultParagraphFont"/>
    <w:link w:val="Author"/>
    <w:uiPriority w:val="2"/>
    <w:rsid w:val="004C374D"/>
    <w:rPr>
      <w:rFonts w:asciiTheme="majorHAnsi" w:hAnsiTheme="majorHAnsi"/>
      <w:b/>
      <w:color w:val="595959" w:themeColor="text1" w:themeTint="A6"/>
      <w:sz w:val="24"/>
    </w:rPr>
  </w:style>
  <w:style w:type="table" w:styleId="GridTable4-Accent5">
    <w:name w:val="Grid Table 4 Accent 5"/>
    <w:basedOn w:val="TableNormal"/>
    <w:uiPriority w:val="49"/>
    <w:rsid w:val="0054565E"/>
    <w:pPr>
      <w:spacing w:after="0" w:line="240" w:lineRule="auto"/>
    </w:pPr>
    <w:tblPr>
      <w:tblStyleRowBandSize w:val="1"/>
      <w:tblStyleColBandSize w:val="1"/>
      <w:tblBorders>
        <w:top w:val="single" w:sz="4" w:space="0" w:color="39C2FF" w:themeColor="accent5" w:themeTint="99"/>
        <w:left w:val="single" w:sz="4" w:space="0" w:color="39C2FF" w:themeColor="accent5" w:themeTint="99"/>
        <w:bottom w:val="single" w:sz="4" w:space="0" w:color="39C2FF" w:themeColor="accent5" w:themeTint="99"/>
        <w:right w:val="single" w:sz="4" w:space="0" w:color="39C2FF" w:themeColor="accent5" w:themeTint="99"/>
        <w:insideH w:val="single" w:sz="4" w:space="0" w:color="39C2FF" w:themeColor="accent5" w:themeTint="99"/>
        <w:insideV w:val="single" w:sz="4" w:space="0" w:color="39C2FF" w:themeColor="accent5" w:themeTint="99"/>
      </w:tblBorders>
    </w:tblPr>
    <w:tblStylePr w:type="firstRow">
      <w:rPr>
        <w:b/>
        <w:bCs/>
        <w:color w:val="FFFFFF" w:themeColor="background1"/>
      </w:rPr>
      <w:tblPr/>
      <w:tcPr>
        <w:tcBorders>
          <w:top w:val="single" w:sz="4" w:space="0" w:color="007DB4" w:themeColor="accent5"/>
          <w:left w:val="single" w:sz="4" w:space="0" w:color="007DB4" w:themeColor="accent5"/>
          <w:bottom w:val="single" w:sz="4" w:space="0" w:color="007DB4" w:themeColor="accent5"/>
          <w:right w:val="single" w:sz="4" w:space="0" w:color="007DB4" w:themeColor="accent5"/>
          <w:insideH w:val="nil"/>
          <w:insideV w:val="nil"/>
        </w:tcBorders>
        <w:shd w:val="clear" w:color="auto" w:fill="007DB4" w:themeFill="accent5"/>
      </w:tcPr>
    </w:tblStylePr>
    <w:tblStylePr w:type="lastRow">
      <w:rPr>
        <w:b/>
        <w:bCs/>
      </w:rPr>
      <w:tblPr/>
      <w:tcPr>
        <w:tcBorders>
          <w:top w:val="double" w:sz="4" w:space="0" w:color="007DB4" w:themeColor="accent5"/>
        </w:tcBorders>
      </w:tcPr>
    </w:tblStylePr>
    <w:tblStylePr w:type="firstCol">
      <w:rPr>
        <w:b/>
        <w:bCs/>
      </w:rPr>
    </w:tblStylePr>
    <w:tblStylePr w:type="lastCol">
      <w:rPr>
        <w:b/>
        <w:bCs/>
      </w:rPr>
    </w:tblStylePr>
    <w:tblStylePr w:type="band1Vert">
      <w:tblPr/>
      <w:tcPr>
        <w:shd w:val="clear" w:color="auto" w:fill="BDEAFF" w:themeFill="accent5" w:themeFillTint="33"/>
      </w:tcPr>
    </w:tblStylePr>
    <w:tblStylePr w:type="band1Horz">
      <w:tblPr/>
      <w:tcPr>
        <w:shd w:val="clear" w:color="auto" w:fill="BDEAFF" w:themeFill="accent5" w:themeFillTint="33"/>
      </w:tcPr>
    </w:tblStylePr>
  </w:style>
  <w:style w:type="character" w:styleId="IntenseReference">
    <w:name w:val="Intense Reference"/>
    <w:basedOn w:val="DefaultParagraphFont"/>
    <w:uiPriority w:val="99"/>
    <w:semiHidden/>
    <w:rsid w:val="00D44394"/>
    <w:rPr>
      <w:b/>
      <w:bCs/>
      <w:smallCaps/>
      <w:color w:val="00AE9A" w:themeColor="accent1"/>
      <w:spacing w:val="5"/>
    </w:rPr>
  </w:style>
  <w:style w:type="character" w:styleId="SubtleReference">
    <w:name w:val="Subtle Reference"/>
    <w:basedOn w:val="DefaultParagraphFont"/>
    <w:uiPriority w:val="99"/>
    <w:semiHidden/>
    <w:rsid w:val="00D44394"/>
    <w:rPr>
      <w:smallCaps/>
      <w:color w:val="5A5A5A" w:themeColor="text1" w:themeTint="A5"/>
    </w:rPr>
  </w:style>
  <w:style w:type="character" w:styleId="BookTitle">
    <w:name w:val="Book Title"/>
    <w:basedOn w:val="DefaultParagraphFont"/>
    <w:uiPriority w:val="99"/>
    <w:semiHidden/>
    <w:rsid w:val="00D44394"/>
    <w:rPr>
      <w:b/>
      <w:bCs/>
      <w:i/>
      <w:iCs/>
      <w:spacing w:val="5"/>
    </w:rPr>
  </w:style>
  <w:style w:type="character" w:customStyle="1" w:styleId="Heading6Char">
    <w:name w:val="Heading 6 Char"/>
    <w:basedOn w:val="DefaultParagraphFont"/>
    <w:link w:val="Heading6"/>
    <w:uiPriority w:val="6"/>
    <w:semiHidden/>
    <w:rsid w:val="001740A8"/>
    <w:rPr>
      <w:rFonts w:asciiTheme="majorHAnsi" w:eastAsiaTheme="majorEastAsia" w:hAnsiTheme="majorHAnsi" w:cstheme="majorBidi"/>
    </w:rPr>
  </w:style>
  <w:style w:type="paragraph" w:styleId="BodyTextIndent2">
    <w:name w:val="Body Text Indent 2"/>
    <w:basedOn w:val="BodyTextIndent"/>
    <w:link w:val="BodyTextIndent2Char"/>
    <w:uiPriority w:val="9"/>
    <w:semiHidden/>
    <w:unhideWhenUsed/>
    <w:rsid w:val="00F517CC"/>
    <w:pPr>
      <w:ind w:left="360"/>
    </w:pPr>
  </w:style>
  <w:style w:type="character" w:customStyle="1" w:styleId="BodyTextIndent2Char">
    <w:name w:val="Body Text Indent 2 Char"/>
    <w:basedOn w:val="DefaultParagraphFont"/>
    <w:link w:val="BodyTextIndent2"/>
    <w:uiPriority w:val="9"/>
    <w:semiHidden/>
    <w:rsid w:val="005D5553"/>
    <w:rPr>
      <w:kern w:val="12"/>
    </w:rPr>
  </w:style>
  <w:style w:type="paragraph" w:styleId="BodyTextIndent3">
    <w:name w:val="Body Text Indent 3"/>
    <w:basedOn w:val="BodyTextIndent"/>
    <w:link w:val="BodyTextIndent3Char"/>
    <w:uiPriority w:val="9"/>
    <w:semiHidden/>
    <w:unhideWhenUsed/>
    <w:rsid w:val="00F517CC"/>
    <w:pPr>
      <w:ind w:left="720"/>
    </w:pPr>
    <w:rPr>
      <w:sz w:val="16"/>
      <w:szCs w:val="16"/>
    </w:rPr>
  </w:style>
  <w:style w:type="character" w:customStyle="1" w:styleId="BodyTextIndent3Char">
    <w:name w:val="Body Text Indent 3 Char"/>
    <w:basedOn w:val="DefaultParagraphFont"/>
    <w:link w:val="BodyTextIndent3"/>
    <w:uiPriority w:val="9"/>
    <w:semiHidden/>
    <w:rsid w:val="005D5553"/>
    <w:rPr>
      <w:kern w:val="12"/>
      <w:sz w:val="16"/>
      <w:szCs w:val="16"/>
    </w:rPr>
  </w:style>
  <w:style w:type="paragraph" w:styleId="Index7">
    <w:name w:val="index 7"/>
    <w:basedOn w:val="Normal"/>
    <w:next w:val="Normal"/>
    <w:uiPriority w:val="99"/>
    <w:semiHidden/>
    <w:unhideWhenUsed/>
    <w:rsid w:val="0077221F"/>
    <w:pPr>
      <w:spacing w:after="0" w:line="240" w:lineRule="auto"/>
      <w:ind w:left="1540" w:hanging="220"/>
    </w:pPr>
    <w:rPr>
      <w:rFonts w:asciiTheme="majorHAnsi" w:hAnsiTheme="majorHAnsi"/>
    </w:rPr>
  </w:style>
  <w:style w:type="character" w:customStyle="1" w:styleId="Heading8Char">
    <w:name w:val="Heading 8 Char"/>
    <w:basedOn w:val="DefaultParagraphFont"/>
    <w:link w:val="Heading8"/>
    <w:uiPriority w:val="6"/>
    <w:semiHidden/>
    <w:rsid w:val="001740A8"/>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6"/>
    <w:semiHidden/>
    <w:rsid w:val="001740A8"/>
    <w:rPr>
      <w:rFonts w:asciiTheme="majorHAnsi" w:eastAsiaTheme="majorEastAsia" w:hAnsiTheme="majorHAnsi" w:cstheme="majorBidi"/>
      <w:i/>
      <w:iCs/>
      <w:sz w:val="21"/>
      <w:szCs w:val="21"/>
    </w:rPr>
  </w:style>
  <w:style w:type="character" w:customStyle="1" w:styleId="Heading7Char">
    <w:name w:val="Heading 7 Char"/>
    <w:basedOn w:val="DefaultParagraphFont"/>
    <w:link w:val="Heading7"/>
    <w:uiPriority w:val="6"/>
    <w:semiHidden/>
    <w:rsid w:val="001740A8"/>
    <w:rPr>
      <w:rFonts w:asciiTheme="majorHAnsi" w:eastAsiaTheme="majorEastAsia" w:hAnsiTheme="majorHAnsi" w:cstheme="majorBidi"/>
      <w:i/>
      <w:iCs/>
    </w:rPr>
  </w:style>
  <w:style w:type="paragraph" w:styleId="IndexHeading">
    <w:name w:val="index heading"/>
    <w:basedOn w:val="NoteHeading"/>
    <w:next w:val="Index1"/>
    <w:uiPriority w:val="99"/>
    <w:semiHidden/>
    <w:unhideWhenUsed/>
    <w:rsid w:val="00AA7419"/>
    <w:rPr>
      <w:rFonts w:cstheme="majorBidi"/>
      <w:bCs/>
    </w:rPr>
  </w:style>
  <w:style w:type="character" w:customStyle="1" w:styleId="CaptionChar">
    <w:name w:val="Caption Char"/>
    <w:basedOn w:val="DefaultParagraphFont"/>
    <w:link w:val="Caption"/>
    <w:uiPriority w:val="12"/>
    <w:rsid w:val="009B3A88"/>
    <w:rPr>
      <w:rFonts w:asciiTheme="majorHAnsi" w:eastAsiaTheme="majorEastAsia" w:hAnsiTheme="majorHAnsi"/>
      <w:b/>
      <w:iCs/>
      <w:color w:val="3D5567" w:themeColor="accent6"/>
      <w:sz w:val="24"/>
      <w:szCs w:val="18"/>
    </w:rPr>
  </w:style>
  <w:style w:type="paragraph" w:styleId="Index2">
    <w:name w:val="index 2"/>
    <w:basedOn w:val="Normal"/>
    <w:next w:val="Normal"/>
    <w:uiPriority w:val="99"/>
    <w:semiHidden/>
    <w:unhideWhenUsed/>
    <w:rsid w:val="006B2DB8"/>
    <w:pPr>
      <w:spacing w:after="0" w:line="240" w:lineRule="auto"/>
      <w:ind w:left="440" w:hanging="220"/>
    </w:pPr>
  </w:style>
  <w:style w:type="paragraph" w:styleId="Index3">
    <w:name w:val="index 3"/>
    <w:basedOn w:val="Normal"/>
    <w:next w:val="Normal"/>
    <w:uiPriority w:val="99"/>
    <w:semiHidden/>
    <w:unhideWhenUsed/>
    <w:rsid w:val="006B2DB8"/>
    <w:pPr>
      <w:spacing w:after="0" w:line="240" w:lineRule="auto"/>
      <w:ind w:left="660" w:hanging="220"/>
    </w:pPr>
  </w:style>
  <w:style w:type="paragraph" w:styleId="Index4">
    <w:name w:val="index 4"/>
    <w:basedOn w:val="Normal"/>
    <w:next w:val="Normal"/>
    <w:uiPriority w:val="99"/>
    <w:semiHidden/>
    <w:unhideWhenUsed/>
    <w:rsid w:val="006B2DB8"/>
    <w:pPr>
      <w:spacing w:after="0" w:line="240" w:lineRule="auto"/>
      <w:ind w:left="880" w:hanging="220"/>
    </w:pPr>
  </w:style>
  <w:style w:type="paragraph" w:styleId="Index5">
    <w:name w:val="index 5"/>
    <w:basedOn w:val="Normal"/>
    <w:next w:val="Normal"/>
    <w:uiPriority w:val="99"/>
    <w:semiHidden/>
    <w:unhideWhenUsed/>
    <w:rsid w:val="006B2DB8"/>
    <w:pPr>
      <w:spacing w:after="0" w:line="240" w:lineRule="auto"/>
      <w:ind w:left="1100" w:hanging="220"/>
    </w:pPr>
  </w:style>
  <w:style w:type="paragraph" w:styleId="Index6">
    <w:name w:val="index 6"/>
    <w:basedOn w:val="Normal"/>
    <w:next w:val="Normal"/>
    <w:uiPriority w:val="99"/>
    <w:semiHidden/>
    <w:unhideWhenUsed/>
    <w:rsid w:val="006B2DB8"/>
    <w:pPr>
      <w:spacing w:after="0" w:line="240" w:lineRule="auto"/>
      <w:ind w:left="1320" w:hanging="220"/>
    </w:pPr>
  </w:style>
  <w:style w:type="paragraph" w:styleId="Index8">
    <w:name w:val="index 8"/>
    <w:basedOn w:val="Normal"/>
    <w:next w:val="Normal"/>
    <w:uiPriority w:val="99"/>
    <w:semiHidden/>
    <w:unhideWhenUsed/>
    <w:rsid w:val="006B2DB8"/>
    <w:pPr>
      <w:spacing w:after="0" w:line="240" w:lineRule="auto"/>
      <w:ind w:left="1760" w:hanging="220"/>
    </w:pPr>
  </w:style>
  <w:style w:type="paragraph" w:styleId="Index9">
    <w:name w:val="index 9"/>
    <w:basedOn w:val="Normal"/>
    <w:next w:val="Normal"/>
    <w:uiPriority w:val="99"/>
    <w:semiHidden/>
    <w:unhideWhenUsed/>
    <w:rsid w:val="006B2DB8"/>
    <w:pPr>
      <w:spacing w:after="0" w:line="240" w:lineRule="auto"/>
      <w:ind w:left="1980" w:hanging="220"/>
    </w:pPr>
  </w:style>
  <w:style w:type="character" w:styleId="CommentReference">
    <w:name w:val="annotation reference"/>
    <w:basedOn w:val="DefaultParagraphFont"/>
    <w:uiPriority w:val="99"/>
    <w:semiHidden/>
    <w:rsid w:val="00F77DAC"/>
    <w:rPr>
      <w:sz w:val="16"/>
      <w:szCs w:val="16"/>
    </w:rPr>
  </w:style>
  <w:style w:type="paragraph" w:styleId="CommentText">
    <w:name w:val="annotation text"/>
    <w:basedOn w:val="Normal"/>
    <w:link w:val="CommentTextChar"/>
    <w:uiPriority w:val="99"/>
    <w:semiHidden/>
    <w:rsid w:val="00F77DAC"/>
    <w:pPr>
      <w:spacing w:line="240" w:lineRule="auto"/>
    </w:pPr>
    <w:rPr>
      <w:sz w:val="20"/>
      <w:szCs w:val="20"/>
    </w:rPr>
  </w:style>
  <w:style w:type="character" w:customStyle="1" w:styleId="CommentTextChar">
    <w:name w:val="Comment Text Char"/>
    <w:basedOn w:val="DefaultParagraphFont"/>
    <w:link w:val="CommentText"/>
    <w:uiPriority w:val="99"/>
    <w:semiHidden/>
    <w:rsid w:val="00F77DAC"/>
    <w:rPr>
      <w:sz w:val="20"/>
      <w:szCs w:val="20"/>
    </w:rPr>
  </w:style>
  <w:style w:type="paragraph" w:styleId="CommentSubject">
    <w:name w:val="annotation subject"/>
    <w:basedOn w:val="CommentText"/>
    <w:next w:val="CommentText"/>
    <w:link w:val="CommentSubjectChar"/>
    <w:uiPriority w:val="99"/>
    <w:semiHidden/>
    <w:rsid w:val="00F77DAC"/>
    <w:rPr>
      <w:b/>
      <w:bCs/>
    </w:rPr>
  </w:style>
  <w:style w:type="character" w:customStyle="1" w:styleId="CommentSubjectChar">
    <w:name w:val="Comment Subject Char"/>
    <w:basedOn w:val="CommentTextChar"/>
    <w:link w:val="CommentSubject"/>
    <w:uiPriority w:val="99"/>
    <w:semiHidden/>
    <w:rsid w:val="00F77DAC"/>
    <w:rPr>
      <w:b/>
      <w:bCs/>
      <w:sz w:val="20"/>
      <w:szCs w:val="20"/>
    </w:rPr>
  </w:style>
  <w:style w:type="paragraph" w:styleId="Revision">
    <w:name w:val="Revision"/>
    <w:hidden/>
    <w:uiPriority w:val="99"/>
    <w:semiHidden/>
    <w:rsid w:val="00834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617">
      <w:bodyDiv w:val="1"/>
      <w:marLeft w:val="0"/>
      <w:marRight w:val="0"/>
      <w:marTop w:val="0"/>
      <w:marBottom w:val="0"/>
      <w:divBdr>
        <w:top w:val="none" w:sz="0" w:space="0" w:color="auto"/>
        <w:left w:val="none" w:sz="0" w:space="0" w:color="auto"/>
        <w:bottom w:val="none" w:sz="0" w:space="0" w:color="auto"/>
        <w:right w:val="none" w:sz="0" w:space="0" w:color="auto"/>
      </w:divBdr>
    </w:div>
    <w:div w:id="100226541">
      <w:bodyDiv w:val="1"/>
      <w:marLeft w:val="0"/>
      <w:marRight w:val="0"/>
      <w:marTop w:val="0"/>
      <w:marBottom w:val="0"/>
      <w:divBdr>
        <w:top w:val="none" w:sz="0" w:space="0" w:color="auto"/>
        <w:left w:val="none" w:sz="0" w:space="0" w:color="auto"/>
        <w:bottom w:val="none" w:sz="0" w:space="0" w:color="auto"/>
        <w:right w:val="none" w:sz="0" w:space="0" w:color="auto"/>
      </w:divBdr>
    </w:div>
    <w:div w:id="125973520">
      <w:bodyDiv w:val="1"/>
      <w:marLeft w:val="0"/>
      <w:marRight w:val="0"/>
      <w:marTop w:val="0"/>
      <w:marBottom w:val="0"/>
      <w:divBdr>
        <w:top w:val="none" w:sz="0" w:space="0" w:color="auto"/>
        <w:left w:val="none" w:sz="0" w:space="0" w:color="auto"/>
        <w:bottom w:val="none" w:sz="0" w:space="0" w:color="auto"/>
        <w:right w:val="none" w:sz="0" w:space="0" w:color="auto"/>
      </w:divBdr>
    </w:div>
    <w:div w:id="163863174">
      <w:bodyDiv w:val="1"/>
      <w:marLeft w:val="0"/>
      <w:marRight w:val="0"/>
      <w:marTop w:val="0"/>
      <w:marBottom w:val="0"/>
      <w:divBdr>
        <w:top w:val="none" w:sz="0" w:space="0" w:color="auto"/>
        <w:left w:val="none" w:sz="0" w:space="0" w:color="auto"/>
        <w:bottom w:val="none" w:sz="0" w:space="0" w:color="auto"/>
        <w:right w:val="none" w:sz="0" w:space="0" w:color="auto"/>
      </w:divBdr>
    </w:div>
    <w:div w:id="190001632">
      <w:bodyDiv w:val="1"/>
      <w:marLeft w:val="0"/>
      <w:marRight w:val="0"/>
      <w:marTop w:val="0"/>
      <w:marBottom w:val="0"/>
      <w:divBdr>
        <w:top w:val="none" w:sz="0" w:space="0" w:color="auto"/>
        <w:left w:val="none" w:sz="0" w:space="0" w:color="auto"/>
        <w:bottom w:val="none" w:sz="0" w:space="0" w:color="auto"/>
        <w:right w:val="none" w:sz="0" w:space="0" w:color="auto"/>
      </w:divBdr>
    </w:div>
    <w:div w:id="211037398">
      <w:bodyDiv w:val="1"/>
      <w:marLeft w:val="0"/>
      <w:marRight w:val="0"/>
      <w:marTop w:val="0"/>
      <w:marBottom w:val="0"/>
      <w:divBdr>
        <w:top w:val="none" w:sz="0" w:space="0" w:color="auto"/>
        <w:left w:val="none" w:sz="0" w:space="0" w:color="auto"/>
        <w:bottom w:val="none" w:sz="0" w:space="0" w:color="auto"/>
        <w:right w:val="none" w:sz="0" w:space="0" w:color="auto"/>
      </w:divBdr>
    </w:div>
    <w:div w:id="336077251">
      <w:bodyDiv w:val="1"/>
      <w:marLeft w:val="0"/>
      <w:marRight w:val="0"/>
      <w:marTop w:val="0"/>
      <w:marBottom w:val="0"/>
      <w:divBdr>
        <w:top w:val="none" w:sz="0" w:space="0" w:color="auto"/>
        <w:left w:val="none" w:sz="0" w:space="0" w:color="auto"/>
        <w:bottom w:val="none" w:sz="0" w:space="0" w:color="auto"/>
        <w:right w:val="none" w:sz="0" w:space="0" w:color="auto"/>
      </w:divBdr>
    </w:div>
    <w:div w:id="344401476">
      <w:bodyDiv w:val="1"/>
      <w:marLeft w:val="0"/>
      <w:marRight w:val="0"/>
      <w:marTop w:val="0"/>
      <w:marBottom w:val="0"/>
      <w:divBdr>
        <w:top w:val="none" w:sz="0" w:space="0" w:color="auto"/>
        <w:left w:val="none" w:sz="0" w:space="0" w:color="auto"/>
        <w:bottom w:val="none" w:sz="0" w:space="0" w:color="auto"/>
        <w:right w:val="none" w:sz="0" w:space="0" w:color="auto"/>
      </w:divBdr>
    </w:div>
    <w:div w:id="367802134">
      <w:bodyDiv w:val="1"/>
      <w:marLeft w:val="0"/>
      <w:marRight w:val="0"/>
      <w:marTop w:val="0"/>
      <w:marBottom w:val="0"/>
      <w:divBdr>
        <w:top w:val="none" w:sz="0" w:space="0" w:color="auto"/>
        <w:left w:val="none" w:sz="0" w:space="0" w:color="auto"/>
        <w:bottom w:val="none" w:sz="0" w:space="0" w:color="auto"/>
        <w:right w:val="none" w:sz="0" w:space="0" w:color="auto"/>
      </w:divBdr>
    </w:div>
    <w:div w:id="379935648">
      <w:bodyDiv w:val="1"/>
      <w:marLeft w:val="0"/>
      <w:marRight w:val="0"/>
      <w:marTop w:val="0"/>
      <w:marBottom w:val="0"/>
      <w:divBdr>
        <w:top w:val="none" w:sz="0" w:space="0" w:color="auto"/>
        <w:left w:val="none" w:sz="0" w:space="0" w:color="auto"/>
        <w:bottom w:val="none" w:sz="0" w:space="0" w:color="auto"/>
        <w:right w:val="none" w:sz="0" w:space="0" w:color="auto"/>
      </w:divBdr>
    </w:div>
    <w:div w:id="527254733">
      <w:bodyDiv w:val="1"/>
      <w:marLeft w:val="0"/>
      <w:marRight w:val="0"/>
      <w:marTop w:val="0"/>
      <w:marBottom w:val="0"/>
      <w:divBdr>
        <w:top w:val="none" w:sz="0" w:space="0" w:color="auto"/>
        <w:left w:val="none" w:sz="0" w:space="0" w:color="auto"/>
        <w:bottom w:val="none" w:sz="0" w:space="0" w:color="auto"/>
        <w:right w:val="none" w:sz="0" w:space="0" w:color="auto"/>
      </w:divBdr>
      <w:divsChild>
        <w:div w:id="1311865158">
          <w:marLeft w:val="0"/>
          <w:marRight w:val="0"/>
          <w:marTop w:val="0"/>
          <w:marBottom w:val="0"/>
          <w:divBdr>
            <w:top w:val="none" w:sz="0" w:space="0" w:color="auto"/>
            <w:left w:val="none" w:sz="0" w:space="0" w:color="auto"/>
            <w:bottom w:val="none" w:sz="0" w:space="0" w:color="auto"/>
            <w:right w:val="none" w:sz="0" w:space="0" w:color="auto"/>
          </w:divBdr>
          <w:divsChild>
            <w:div w:id="1416051151">
              <w:marLeft w:val="0"/>
              <w:marRight w:val="0"/>
              <w:marTop w:val="0"/>
              <w:marBottom w:val="0"/>
              <w:divBdr>
                <w:top w:val="none" w:sz="0" w:space="0" w:color="auto"/>
                <w:left w:val="none" w:sz="0" w:space="0" w:color="auto"/>
                <w:bottom w:val="none" w:sz="0" w:space="0" w:color="auto"/>
                <w:right w:val="none" w:sz="0" w:space="0" w:color="auto"/>
              </w:divBdr>
            </w:div>
          </w:divsChild>
        </w:div>
        <w:div w:id="875888686">
          <w:marLeft w:val="0"/>
          <w:marRight w:val="0"/>
          <w:marTop w:val="0"/>
          <w:marBottom w:val="0"/>
          <w:divBdr>
            <w:top w:val="none" w:sz="0" w:space="0" w:color="auto"/>
            <w:left w:val="none" w:sz="0" w:space="0" w:color="auto"/>
            <w:bottom w:val="none" w:sz="0" w:space="0" w:color="auto"/>
            <w:right w:val="none" w:sz="0" w:space="0" w:color="auto"/>
          </w:divBdr>
          <w:divsChild>
            <w:div w:id="343826890">
              <w:marLeft w:val="0"/>
              <w:marRight w:val="0"/>
              <w:marTop w:val="0"/>
              <w:marBottom w:val="0"/>
              <w:divBdr>
                <w:top w:val="none" w:sz="0" w:space="0" w:color="auto"/>
                <w:left w:val="none" w:sz="0" w:space="0" w:color="auto"/>
                <w:bottom w:val="none" w:sz="0" w:space="0" w:color="auto"/>
                <w:right w:val="none" w:sz="0" w:space="0" w:color="auto"/>
              </w:divBdr>
            </w:div>
          </w:divsChild>
        </w:div>
        <w:div w:id="1242061473">
          <w:marLeft w:val="0"/>
          <w:marRight w:val="0"/>
          <w:marTop w:val="0"/>
          <w:marBottom w:val="0"/>
          <w:divBdr>
            <w:top w:val="none" w:sz="0" w:space="0" w:color="auto"/>
            <w:left w:val="none" w:sz="0" w:space="0" w:color="auto"/>
            <w:bottom w:val="none" w:sz="0" w:space="0" w:color="auto"/>
            <w:right w:val="none" w:sz="0" w:space="0" w:color="auto"/>
          </w:divBdr>
          <w:divsChild>
            <w:div w:id="1802961495">
              <w:marLeft w:val="0"/>
              <w:marRight w:val="0"/>
              <w:marTop w:val="0"/>
              <w:marBottom w:val="0"/>
              <w:divBdr>
                <w:top w:val="none" w:sz="0" w:space="0" w:color="auto"/>
                <w:left w:val="none" w:sz="0" w:space="0" w:color="auto"/>
                <w:bottom w:val="none" w:sz="0" w:space="0" w:color="auto"/>
                <w:right w:val="none" w:sz="0" w:space="0" w:color="auto"/>
              </w:divBdr>
            </w:div>
          </w:divsChild>
        </w:div>
        <w:div w:id="408120864">
          <w:marLeft w:val="0"/>
          <w:marRight w:val="0"/>
          <w:marTop w:val="0"/>
          <w:marBottom w:val="0"/>
          <w:divBdr>
            <w:top w:val="none" w:sz="0" w:space="0" w:color="auto"/>
            <w:left w:val="none" w:sz="0" w:space="0" w:color="auto"/>
            <w:bottom w:val="none" w:sz="0" w:space="0" w:color="auto"/>
            <w:right w:val="none" w:sz="0" w:space="0" w:color="auto"/>
          </w:divBdr>
          <w:divsChild>
            <w:div w:id="2126190627">
              <w:marLeft w:val="0"/>
              <w:marRight w:val="0"/>
              <w:marTop w:val="0"/>
              <w:marBottom w:val="0"/>
              <w:divBdr>
                <w:top w:val="none" w:sz="0" w:space="0" w:color="auto"/>
                <w:left w:val="none" w:sz="0" w:space="0" w:color="auto"/>
                <w:bottom w:val="none" w:sz="0" w:space="0" w:color="auto"/>
                <w:right w:val="none" w:sz="0" w:space="0" w:color="auto"/>
              </w:divBdr>
            </w:div>
          </w:divsChild>
        </w:div>
        <w:div w:id="680932737">
          <w:marLeft w:val="0"/>
          <w:marRight w:val="0"/>
          <w:marTop w:val="0"/>
          <w:marBottom w:val="0"/>
          <w:divBdr>
            <w:top w:val="none" w:sz="0" w:space="0" w:color="auto"/>
            <w:left w:val="none" w:sz="0" w:space="0" w:color="auto"/>
            <w:bottom w:val="none" w:sz="0" w:space="0" w:color="auto"/>
            <w:right w:val="none" w:sz="0" w:space="0" w:color="auto"/>
          </w:divBdr>
          <w:divsChild>
            <w:div w:id="1706441770">
              <w:marLeft w:val="0"/>
              <w:marRight w:val="0"/>
              <w:marTop w:val="0"/>
              <w:marBottom w:val="0"/>
              <w:divBdr>
                <w:top w:val="none" w:sz="0" w:space="0" w:color="auto"/>
                <w:left w:val="none" w:sz="0" w:space="0" w:color="auto"/>
                <w:bottom w:val="none" w:sz="0" w:space="0" w:color="auto"/>
                <w:right w:val="none" w:sz="0" w:space="0" w:color="auto"/>
              </w:divBdr>
            </w:div>
          </w:divsChild>
        </w:div>
        <w:div w:id="1717314986">
          <w:marLeft w:val="0"/>
          <w:marRight w:val="0"/>
          <w:marTop w:val="0"/>
          <w:marBottom w:val="0"/>
          <w:divBdr>
            <w:top w:val="none" w:sz="0" w:space="0" w:color="auto"/>
            <w:left w:val="none" w:sz="0" w:space="0" w:color="auto"/>
            <w:bottom w:val="none" w:sz="0" w:space="0" w:color="auto"/>
            <w:right w:val="none" w:sz="0" w:space="0" w:color="auto"/>
          </w:divBdr>
          <w:divsChild>
            <w:div w:id="764112706">
              <w:marLeft w:val="0"/>
              <w:marRight w:val="0"/>
              <w:marTop w:val="0"/>
              <w:marBottom w:val="0"/>
              <w:divBdr>
                <w:top w:val="none" w:sz="0" w:space="0" w:color="auto"/>
                <w:left w:val="none" w:sz="0" w:space="0" w:color="auto"/>
                <w:bottom w:val="none" w:sz="0" w:space="0" w:color="auto"/>
                <w:right w:val="none" w:sz="0" w:space="0" w:color="auto"/>
              </w:divBdr>
            </w:div>
          </w:divsChild>
        </w:div>
        <w:div w:id="994795516">
          <w:marLeft w:val="0"/>
          <w:marRight w:val="0"/>
          <w:marTop w:val="0"/>
          <w:marBottom w:val="0"/>
          <w:divBdr>
            <w:top w:val="none" w:sz="0" w:space="0" w:color="auto"/>
            <w:left w:val="none" w:sz="0" w:space="0" w:color="auto"/>
            <w:bottom w:val="none" w:sz="0" w:space="0" w:color="auto"/>
            <w:right w:val="none" w:sz="0" w:space="0" w:color="auto"/>
          </w:divBdr>
          <w:divsChild>
            <w:div w:id="1845319708">
              <w:marLeft w:val="0"/>
              <w:marRight w:val="0"/>
              <w:marTop w:val="0"/>
              <w:marBottom w:val="0"/>
              <w:divBdr>
                <w:top w:val="none" w:sz="0" w:space="0" w:color="auto"/>
                <w:left w:val="none" w:sz="0" w:space="0" w:color="auto"/>
                <w:bottom w:val="none" w:sz="0" w:space="0" w:color="auto"/>
                <w:right w:val="none" w:sz="0" w:space="0" w:color="auto"/>
              </w:divBdr>
            </w:div>
          </w:divsChild>
        </w:div>
        <w:div w:id="841552981">
          <w:marLeft w:val="0"/>
          <w:marRight w:val="0"/>
          <w:marTop w:val="0"/>
          <w:marBottom w:val="0"/>
          <w:divBdr>
            <w:top w:val="none" w:sz="0" w:space="0" w:color="auto"/>
            <w:left w:val="none" w:sz="0" w:space="0" w:color="auto"/>
            <w:bottom w:val="none" w:sz="0" w:space="0" w:color="auto"/>
            <w:right w:val="none" w:sz="0" w:space="0" w:color="auto"/>
          </w:divBdr>
          <w:divsChild>
            <w:div w:id="1786777722">
              <w:marLeft w:val="0"/>
              <w:marRight w:val="0"/>
              <w:marTop w:val="0"/>
              <w:marBottom w:val="0"/>
              <w:divBdr>
                <w:top w:val="none" w:sz="0" w:space="0" w:color="auto"/>
                <w:left w:val="none" w:sz="0" w:space="0" w:color="auto"/>
                <w:bottom w:val="none" w:sz="0" w:space="0" w:color="auto"/>
                <w:right w:val="none" w:sz="0" w:space="0" w:color="auto"/>
              </w:divBdr>
            </w:div>
          </w:divsChild>
        </w:div>
        <w:div w:id="1366904264">
          <w:marLeft w:val="0"/>
          <w:marRight w:val="0"/>
          <w:marTop w:val="0"/>
          <w:marBottom w:val="0"/>
          <w:divBdr>
            <w:top w:val="none" w:sz="0" w:space="0" w:color="auto"/>
            <w:left w:val="none" w:sz="0" w:space="0" w:color="auto"/>
            <w:bottom w:val="none" w:sz="0" w:space="0" w:color="auto"/>
            <w:right w:val="none" w:sz="0" w:space="0" w:color="auto"/>
          </w:divBdr>
          <w:divsChild>
            <w:div w:id="156045909">
              <w:marLeft w:val="0"/>
              <w:marRight w:val="0"/>
              <w:marTop w:val="0"/>
              <w:marBottom w:val="0"/>
              <w:divBdr>
                <w:top w:val="none" w:sz="0" w:space="0" w:color="auto"/>
                <w:left w:val="none" w:sz="0" w:space="0" w:color="auto"/>
                <w:bottom w:val="none" w:sz="0" w:space="0" w:color="auto"/>
                <w:right w:val="none" w:sz="0" w:space="0" w:color="auto"/>
              </w:divBdr>
            </w:div>
          </w:divsChild>
        </w:div>
        <w:div w:id="1936091793">
          <w:marLeft w:val="0"/>
          <w:marRight w:val="0"/>
          <w:marTop w:val="0"/>
          <w:marBottom w:val="0"/>
          <w:divBdr>
            <w:top w:val="none" w:sz="0" w:space="0" w:color="auto"/>
            <w:left w:val="none" w:sz="0" w:space="0" w:color="auto"/>
            <w:bottom w:val="none" w:sz="0" w:space="0" w:color="auto"/>
            <w:right w:val="none" w:sz="0" w:space="0" w:color="auto"/>
          </w:divBdr>
          <w:divsChild>
            <w:div w:id="130565828">
              <w:marLeft w:val="0"/>
              <w:marRight w:val="0"/>
              <w:marTop w:val="0"/>
              <w:marBottom w:val="0"/>
              <w:divBdr>
                <w:top w:val="none" w:sz="0" w:space="0" w:color="auto"/>
                <w:left w:val="none" w:sz="0" w:space="0" w:color="auto"/>
                <w:bottom w:val="none" w:sz="0" w:space="0" w:color="auto"/>
                <w:right w:val="none" w:sz="0" w:space="0" w:color="auto"/>
              </w:divBdr>
            </w:div>
          </w:divsChild>
        </w:div>
        <w:div w:id="15271629">
          <w:marLeft w:val="0"/>
          <w:marRight w:val="0"/>
          <w:marTop w:val="0"/>
          <w:marBottom w:val="0"/>
          <w:divBdr>
            <w:top w:val="none" w:sz="0" w:space="0" w:color="auto"/>
            <w:left w:val="none" w:sz="0" w:space="0" w:color="auto"/>
            <w:bottom w:val="none" w:sz="0" w:space="0" w:color="auto"/>
            <w:right w:val="none" w:sz="0" w:space="0" w:color="auto"/>
          </w:divBdr>
          <w:divsChild>
            <w:div w:id="1628196002">
              <w:marLeft w:val="0"/>
              <w:marRight w:val="0"/>
              <w:marTop w:val="0"/>
              <w:marBottom w:val="0"/>
              <w:divBdr>
                <w:top w:val="none" w:sz="0" w:space="0" w:color="auto"/>
                <w:left w:val="none" w:sz="0" w:space="0" w:color="auto"/>
                <w:bottom w:val="none" w:sz="0" w:space="0" w:color="auto"/>
                <w:right w:val="none" w:sz="0" w:space="0" w:color="auto"/>
              </w:divBdr>
            </w:div>
          </w:divsChild>
        </w:div>
        <w:div w:id="1639916872">
          <w:marLeft w:val="0"/>
          <w:marRight w:val="0"/>
          <w:marTop w:val="0"/>
          <w:marBottom w:val="0"/>
          <w:divBdr>
            <w:top w:val="none" w:sz="0" w:space="0" w:color="auto"/>
            <w:left w:val="none" w:sz="0" w:space="0" w:color="auto"/>
            <w:bottom w:val="none" w:sz="0" w:space="0" w:color="auto"/>
            <w:right w:val="none" w:sz="0" w:space="0" w:color="auto"/>
          </w:divBdr>
          <w:divsChild>
            <w:div w:id="2042199622">
              <w:marLeft w:val="0"/>
              <w:marRight w:val="0"/>
              <w:marTop w:val="0"/>
              <w:marBottom w:val="0"/>
              <w:divBdr>
                <w:top w:val="none" w:sz="0" w:space="0" w:color="auto"/>
                <w:left w:val="none" w:sz="0" w:space="0" w:color="auto"/>
                <w:bottom w:val="none" w:sz="0" w:space="0" w:color="auto"/>
                <w:right w:val="none" w:sz="0" w:space="0" w:color="auto"/>
              </w:divBdr>
            </w:div>
          </w:divsChild>
        </w:div>
        <w:div w:id="1799911786">
          <w:marLeft w:val="0"/>
          <w:marRight w:val="0"/>
          <w:marTop w:val="0"/>
          <w:marBottom w:val="0"/>
          <w:divBdr>
            <w:top w:val="none" w:sz="0" w:space="0" w:color="auto"/>
            <w:left w:val="none" w:sz="0" w:space="0" w:color="auto"/>
            <w:bottom w:val="none" w:sz="0" w:space="0" w:color="auto"/>
            <w:right w:val="none" w:sz="0" w:space="0" w:color="auto"/>
          </w:divBdr>
          <w:divsChild>
            <w:div w:id="1361665830">
              <w:marLeft w:val="0"/>
              <w:marRight w:val="0"/>
              <w:marTop w:val="0"/>
              <w:marBottom w:val="0"/>
              <w:divBdr>
                <w:top w:val="none" w:sz="0" w:space="0" w:color="auto"/>
                <w:left w:val="none" w:sz="0" w:space="0" w:color="auto"/>
                <w:bottom w:val="none" w:sz="0" w:space="0" w:color="auto"/>
                <w:right w:val="none" w:sz="0" w:space="0" w:color="auto"/>
              </w:divBdr>
            </w:div>
          </w:divsChild>
        </w:div>
        <w:div w:id="1540321488">
          <w:marLeft w:val="0"/>
          <w:marRight w:val="0"/>
          <w:marTop w:val="0"/>
          <w:marBottom w:val="0"/>
          <w:divBdr>
            <w:top w:val="none" w:sz="0" w:space="0" w:color="auto"/>
            <w:left w:val="none" w:sz="0" w:space="0" w:color="auto"/>
            <w:bottom w:val="none" w:sz="0" w:space="0" w:color="auto"/>
            <w:right w:val="none" w:sz="0" w:space="0" w:color="auto"/>
          </w:divBdr>
          <w:divsChild>
            <w:div w:id="2006131870">
              <w:marLeft w:val="0"/>
              <w:marRight w:val="0"/>
              <w:marTop w:val="0"/>
              <w:marBottom w:val="0"/>
              <w:divBdr>
                <w:top w:val="none" w:sz="0" w:space="0" w:color="auto"/>
                <w:left w:val="none" w:sz="0" w:space="0" w:color="auto"/>
                <w:bottom w:val="none" w:sz="0" w:space="0" w:color="auto"/>
                <w:right w:val="none" w:sz="0" w:space="0" w:color="auto"/>
              </w:divBdr>
            </w:div>
          </w:divsChild>
        </w:div>
        <w:div w:id="1138575231">
          <w:marLeft w:val="0"/>
          <w:marRight w:val="0"/>
          <w:marTop w:val="0"/>
          <w:marBottom w:val="0"/>
          <w:divBdr>
            <w:top w:val="none" w:sz="0" w:space="0" w:color="auto"/>
            <w:left w:val="none" w:sz="0" w:space="0" w:color="auto"/>
            <w:bottom w:val="none" w:sz="0" w:space="0" w:color="auto"/>
            <w:right w:val="none" w:sz="0" w:space="0" w:color="auto"/>
          </w:divBdr>
          <w:divsChild>
            <w:div w:id="149031381">
              <w:marLeft w:val="0"/>
              <w:marRight w:val="0"/>
              <w:marTop w:val="0"/>
              <w:marBottom w:val="0"/>
              <w:divBdr>
                <w:top w:val="none" w:sz="0" w:space="0" w:color="auto"/>
                <w:left w:val="none" w:sz="0" w:space="0" w:color="auto"/>
                <w:bottom w:val="none" w:sz="0" w:space="0" w:color="auto"/>
                <w:right w:val="none" w:sz="0" w:space="0" w:color="auto"/>
              </w:divBdr>
            </w:div>
          </w:divsChild>
        </w:div>
        <w:div w:id="878052673">
          <w:marLeft w:val="0"/>
          <w:marRight w:val="0"/>
          <w:marTop w:val="0"/>
          <w:marBottom w:val="0"/>
          <w:divBdr>
            <w:top w:val="none" w:sz="0" w:space="0" w:color="auto"/>
            <w:left w:val="none" w:sz="0" w:space="0" w:color="auto"/>
            <w:bottom w:val="none" w:sz="0" w:space="0" w:color="auto"/>
            <w:right w:val="none" w:sz="0" w:space="0" w:color="auto"/>
          </w:divBdr>
          <w:divsChild>
            <w:div w:id="1854418582">
              <w:marLeft w:val="0"/>
              <w:marRight w:val="0"/>
              <w:marTop w:val="0"/>
              <w:marBottom w:val="0"/>
              <w:divBdr>
                <w:top w:val="none" w:sz="0" w:space="0" w:color="auto"/>
                <w:left w:val="none" w:sz="0" w:space="0" w:color="auto"/>
                <w:bottom w:val="none" w:sz="0" w:space="0" w:color="auto"/>
                <w:right w:val="none" w:sz="0" w:space="0" w:color="auto"/>
              </w:divBdr>
            </w:div>
          </w:divsChild>
        </w:div>
        <w:div w:id="332684091">
          <w:marLeft w:val="0"/>
          <w:marRight w:val="0"/>
          <w:marTop w:val="0"/>
          <w:marBottom w:val="0"/>
          <w:divBdr>
            <w:top w:val="none" w:sz="0" w:space="0" w:color="auto"/>
            <w:left w:val="none" w:sz="0" w:space="0" w:color="auto"/>
            <w:bottom w:val="none" w:sz="0" w:space="0" w:color="auto"/>
            <w:right w:val="none" w:sz="0" w:space="0" w:color="auto"/>
          </w:divBdr>
          <w:divsChild>
            <w:div w:id="170074638">
              <w:marLeft w:val="0"/>
              <w:marRight w:val="0"/>
              <w:marTop w:val="0"/>
              <w:marBottom w:val="0"/>
              <w:divBdr>
                <w:top w:val="none" w:sz="0" w:space="0" w:color="auto"/>
                <w:left w:val="none" w:sz="0" w:space="0" w:color="auto"/>
                <w:bottom w:val="none" w:sz="0" w:space="0" w:color="auto"/>
                <w:right w:val="none" w:sz="0" w:space="0" w:color="auto"/>
              </w:divBdr>
            </w:div>
          </w:divsChild>
        </w:div>
        <w:div w:id="1877114435">
          <w:marLeft w:val="0"/>
          <w:marRight w:val="0"/>
          <w:marTop w:val="0"/>
          <w:marBottom w:val="0"/>
          <w:divBdr>
            <w:top w:val="none" w:sz="0" w:space="0" w:color="auto"/>
            <w:left w:val="none" w:sz="0" w:space="0" w:color="auto"/>
            <w:bottom w:val="none" w:sz="0" w:space="0" w:color="auto"/>
            <w:right w:val="none" w:sz="0" w:space="0" w:color="auto"/>
          </w:divBdr>
          <w:divsChild>
            <w:div w:id="301928015">
              <w:marLeft w:val="0"/>
              <w:marRight w:val="0"/>
              <w:marTop w:val="0"/>
              <w:marBottom w:val="0"/>
              <w:divBdr>
                <w:top w:val="none" w:sz="0" w:space="0" w:color="auto"/>
                <w:left w:val="none" w:sz="0" w:space="0" w:color="auto"/>
                <w:bottom w:val="none" w:sz="0" w:space="0" w:color="auto"/>
                <w:right w:val="none" w:sz="0" w:space="0" w:color="auto"/>
              </w:divBdr>
            </w:div>
          </w:divsChild>
        </w:div>
        <w:div w:id="1385519812">
          <w:marLeft w:val="0"/>
          <w:marRight w:val="0"/>
          <w:marTop w:val="0"/>
          <w:marBottom w:val="0"/>
          <w:divBdr>
            <w:top w:val="none" w:sz="0" w:space="0" w:color="auto"/>
            <w:left w:val="none" w:sz="0" w:space="0" w:color="auto"/>
            <w:bottom w:val="none" w:sz="0" w:space="0" w:color="auto"/>
            <w:right w:val="none" w:sz="0" w:space="0" w:color="auto"/>
          </w:divBdr>
          <w:divsChild>
            <w:div w:id="1923761539">
              <w:marLeft w:val="0"/>
              <w:marRight w:val="0"/>
              <w:marTop w:val="0"/>
              <w:marBottom w:val="0"/>
              <w:divBdr>
                <w:top w:val="none" w:sz="0" w:space="0" w:color="auto"/>
                <w:left w:val="none" w:sz="0" w:space="0" w:color="auto"/>
                <w:bottom w:val="none" w:sz="0" w:space="0" w:color="auto"/>
                <w:right w:val="none" w:sz="0" w:space="0" w:color="auto"/>
              </w:divBdr>
            </w:div>
          </w:divsChild>
        </w:div>
        <w:div w:id="2053114501">
          <w:marLeft w:val="0"/>
          <w:marRight w:val="0"/>
          <w:marTop w:val="0"/>
          <w:marBottom w:val="0"/>
          <w:divBdr>
            <w:top w:val="none" w:sz="0" w:space="0" w:color="auto"/>
            <w:left w:val="none" w:sz="0" w:space="0" w:color="auto"/>
            <w:bottom w:val="none" w:sz="0" w:space="0" w:color="auto"/>
            <w:right w:val="none" w:sz="0" w:space="0" w:color="auto"/>
          </w:divBdr>
          <w:divsChild>
            <w:div w:id="882524958">
              <w:marLeft w:val="0"/>
              <w:marRight w:val="0"/>
              <w:marTop w:val="0"/>
              <w:marBottom w:val="0"/>
              <w:divBdr>
                <w:top w:val="none" w:sz="0" w:space="0" w:color="auto"/>
                <w:left w:val="none" w:sz="0" w:space="0" w:color="auto"/>
                <w:bottom w:val="none" w:sz="0" w:space="0" w:color="auto"/>
                <w:right w:val="none" w:sz="0" w:space="0" w:color="auto"/>
              </w:divBdr>
            </w:div>
          </w:divsChild>
        </w:div>
        <w:div w:id="785848677">
          <w:marLeft w:val="0"/>
          <w:marRight w:val="0"/>
          <w:marTop w:val="0"/>
          <w:marBottom w:val="0"/>
          <w:divBdr>
            <w:top w:val="none" w:sz="0" w:space="0" w:color="auto"/>
            <w:left w:val="none" w:sz="0" w:space="0" w:color="auto"/>
            <w:bottom w:val="none" w:sz="0" w:space="0" w:color="auto"/>
            <w:right w:val="none" w:sz="0" w:space="0" w:color="auto"/>
          </w:divBdr>
          <w:divsChild>
            <w:div w:id="180556709">
              <w:marLeft w:val="0"/>
              <w:marRight w:val="0"/>
              <w:marTop w:val="0"/>
              <w:marBottom w:val="0"/>
              <w:divBdr>
                <w:top w:val="none" w:sz="0" w:space="0" w:color="auto"/>
                <w:left w:val="none" w:sz="0" w:space="0" w:color="auto"/>
                <w:bottom w:val="none" w:sz="0" w:space="0" w:color="auto"/>
                <w:right w:val="none" w:sz="0" w:space="0" w:color="auto"/>
              </w:divBdr>
            </w:div>
          </w:divsChild>
        </w:div>
        <w:div w:id="2139490430">
          <w:marLeft w:val="0"/>
          <w:marRight w:val="0"/>
          <w:marTop w:val="0"/>
          <w:marBottom w:val="0"/>
          <w:divBdr>
            <w:top w:val="none" w:sz="0" w:space="0" w:color="auto"/>
            <w:left w:val="none" w:sz="0" w:space="0" w:color="auto"/>
            <w:bottom w:val="none" w:sz="0" w:space="0" w:color="auto"/>
            <w:right w:val="none" w:sz="0" w:space="0" w:color="auto"/>
          </w:divBdr>
          <w:divsChild>
            <w:div w:id="1104037956">
              <w:marLeft w:val="0"/>
              <w:marRight w:val="0"/>
              <w:marTop w:val="0"/>
              <w:marBottom w:val="0"/>
              <w:divBdr>
                <w:top w:val="none" w:sz="0" w:space="0" w:color="auto"/>
                <w:left w:val="none" w:sz="0" w:space="0" w:color="auto"/>
                <w:bottom w:val="none" w:sz="0" w:space="0" w:color="auto"/>
                <w:right w:val="none" w:sz="0" w:space="0" w:color="auto"/>
              </w:divBdr>
            </w:div>
          </w:divsChild>
        </w:div>
        <w:div w:id="1711690113">
          <w:marLeft w:val="0"/>
          <w:marRight w:val="0"/>
          <w:marTop w:val="0"/>
          <w:marBottom w:val="0"/>
          <w:divBdr>
            <w:top w:val="none" w:sz="0" w:space="0" w:color="auto"/>
            <w:left w:val="none" w:sz="0" w:space="0" w:color="auto"/>
            <w:bottom w:val="none" w:sz="0" w:space="0" w:color="auto"/>
            <w:right w:val="none" w:sz="0" w:space="0" w:color="auto"/>
          </w:divBdr>
          <w:divsChild>
            <w:div w:id="1382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056">
      <w:bodyDiv w:val="1"/>
      <w:marLeft w:val="0"/>
      <w:marRight w:val="0"/>
      <w:marTop w:val="0"/>
      <w:marBottom w:val="0"/>
      <w:divBdr>
        <w:top w:val="none" w:sz="0" w:space="0" w:color="auto"/>
        <w:left w:val="none" w:sz="0" w:space="0" w:color="auto"/>
        <w:bottom w:val="none" w:sz="0" w:space="0" w:color="auto"/>
        <w:right w:val="none" w:sz="0" w:space="0" w:color="auto"/>
      </w:divBdr>
    </w:div>
    <w:div w:id="610749178">
      <w:bodyDiv w:val="1"/>
      <w:marLeft w:val="0"/>
      <w:marRight w:val="0"/>
      <w:marTop w:val="0"/>
      <w:marBottom w:val="0"/>
      <w:divBdr>
        <w:top w:val="none" w:sz="0" w:space="0" w:color="auto"/>
        <w:left w:val="none" w:sz="0" w:space="0" w:color="auto"/>
        <w:bottom w:val="none" w:sz="0" w:space="0" w:color="auto"/>
        <w:right w:val="none" w:sz="0" w:space="0" w:color="auto"/>
      </w:divBdr>
      <w:divsChild>
        <w:div w:id="1766264955">
          <w:marLeft w:val="0"/>
          <w:marRight w:val="0"/>
          <w:marTop w:val="0"/>
          <w:marBottom w:val="0"/>
          <w:divBdr>
            <w:top w:val="none" w:sz="0" w:space="0" w:color="auto"/>
            <w:left w:val="none" w:sz="0" w:space="0" w:color="auto"/>
            <w:bottom w:val="none" w:sz="0" w:space="0" w:color="auto"/>
            <w:right w:val="none" w:sz="0" w:space="0" w:color="auto"/>
          </w:divBdr>
          <w:divsChild>
            <w:div w:id="320621779">
              <w:marLeft w:val="0"/>
              <w:marRight w:val="0"/>
              <w:marTop w:val="0"/>
              <w:marBottom w:val="0"/>
              <w:divBdr>
                <w:top w:val="none" w:sz="0" w:space="0" w:color="auto"/>
                <w:left w:val="none" w:sz="0" w:space="0" w:color="auto"/>
                <w:bottom w:val="none" w:sz="0" w:space="0" w:color="auto"/>
                <w:right w:val="none" w:sz="0" w:space="0" w:color="auto"/>
              </w:divBdr>
            </w:div>
          </w:divsChild>
        </w:div>
        <w:div w:id="652757203">
          <w:marLeft w:val="0"/>
          <w:marRight w:val="0"/>
          <w:marTop w:val="0"/>
          <w:marBottom w:val="0"/>
          <w:divBdr>
            <w:top w:val="none" w:sz="0" w:space="0" w:color="auto"/>
            <w:left w:val="none" w:sz="0" w:space="0" w:color="auto"/>
            <w:bottom w:val="none" w:sz="0" w:space="0" w:color="auto"/>
            <w:right w:val="none" w:sz="0" w:space="0" w:color="auto"/>
          </w:divBdr>
          <w:divsChild>
            <w:div w:id="1516457613">
              <w:marLeft w:val="0"/>
              <w:marRight w:val="0"/>
              <w:marTop w:val="0"/>
              <w:marBottom w:val="0"/>
              <w:divBdr>
                <w:top w:val="none" w:sz="0" w:space="0" w:color="auto"/>
                <w:left w:val="none" w:sz="0" w:space="0" w:color="auto"/>
                <w:bottom w:val="none" w:sz="0" w:space="0" w:color="auto"/>
                <w:right w:val="none" w:sz="0" w:space="0" w:color="auto"/>
              </w:divBdr>
            </w:div>
          </w:divsChild>
        </w:div>
        <w:div w:id="1918243884">
          <w:marLeft w:val="0"/>
          <w:marRight w:val="0"/>
          <w:marTop w:val="0"/>
          <w:marBottom w:val="0"/>
          <w:divBdr>
            <w:top w:val="none" w:sz="0" w:space="0" w:color="auto"/>
            <w:left w:val="none" w:sz="0" w:space="0" w:color="auto"/>
            <w:bottom w:val="none" w:sz="0" w:space="0" w:color="auto"/>
            <w:right w:val="none" w:sz="0" w:space="0" w:color="auto"/>
          </w:divBdr>
          <w:divsChild>
            <w:div w:id="1989045142">
              <w:marLeft w:val="0"/>
              <w:marRight w:val="0"/>
              <w:marTop w:val="0"/>
              <w:marBottom w:val="0"/>
              <w:divBdr>
                <w:top w:val="none" w:sz="0" w:space="0" w:color="auto"/>
                <w:left w:val="none" w:sz="0" w:space="0" w:color="auto"/>
                <w:bottom w:val="none" w:sz="0" w:space="0" w:color="auto"/>
                <w:right w:val="none" w:sz="0" w:space="0" w:color="auto"/>
              </w:divBdr>
            </w:div>
          </w:divsChild>
        </w:div>
        <w:div w:id="1607228728">
          <w:marLeft w:val="0"/>
          <w:marRight w:val="0"/>
          <w:marTop w:val="0"/>
          <w:marBottom w:val="0"/>
          <w:divBdr>
            <w:top w:val="none" w:sz="0" w:space="0" w:color="auto"/>
            <w:left w:val="none" w:sz="0" w:space="0" w:color="auto"/>
            <w:bottom w:val="none" w:sz="0" w:space="0" w:color="auto"/>
            <w:right w:val="none" w:sz="0" w:space="0" w:color="auto"/>
          </w:divBdr>
          <w:divsChild>
            <w:div w:id="2046171293">
              <w:marLeft w:val="0"/>
              <w:marRight w:val="0"/>
              <w:marTop w:val="0"/>
              <w:marBottom w:val="0"/>
              <w:divBdr>
                <w:top w:val="none" w:sz="0" w:space="0" w:color="auto"/>
                <w:left w:val="none" w:sz="0" w:space="0" w:color="auto"/>
                <w:bottom w:val="none" w:sz="0" w:space="0" w:color="auto"/>
                <w:right w:val="none" w:sz="0" w:space="0" w:color="auto"/>
              </w:divBdr>
            </w:div>
          </w:divsChild>
        </w:div>
        <w:div w:id="1815248838">
          <w:marLeft w:val="0"/>
          <w:marRight w:val="0"/>
          <w:marTop w:val="0"/>
          <w:marBottom w:val="0"/>
          <w:divBdr>
            <w:top w:val="none" w:sz="0" w:space="0" w:color="auto"/>
            <w:left w:val="none" w:sz="0" w:space="0" w:color="auto"/>
            <w:bottom w:val="none" w:sz="0" w:space="0" w:color="auto"/>
            <w:right w:val="none" w:sz="0" w:space="0" w:color="auto"/>
          </w:divBdr>
          <w:divsChild>
            <w:div w:id="1330644828">
              <w:marLeft w:val="0"/>
              <w:marRight w:val="0"/>
              <w:marTop w:val="0"/>
              <w:marBottom w:val="0"/>
              <w:divBdr>
                <w:top w:val="none" w:sz="0" w:space="0" w:color="auto"/>
                <w:left w:val="none" w:sz="0" w:space="0" w:color="auto"/>
                <w:bottom w:val="none" w:sz="0" w:space="0" w:color="auto"/>
                <w:right w:val="none" w:sz="0" w:space="0" w:color="auto"/>
              </w:divBdr>
            </w:div>
          </w:divsChild>
        </w:div>
        <w:div w:id="1510219567">
          <w:marLeft w:val="0"/>
          <w:marRight w:val="0"/>
          <w:marTop w:val="0"/>
          <w:marBottom w:val="0"/>
          <w:divBdr>
            <w:top w:val="none" w:sz="0" w:space="0" w:color="auto"/>
            <w:left w:val="none" w:sz="0" w:space="0" w:color="auto"/>
            <w:bottom w:val="none" w:sz="0" w:space="0" w:color="auto"/>
            <w:right w:val="none" w:sz="0" w:space="0" w:color="auto"/>
          </w:divBdr>
          <w:divsChild>
            <w:div w:id="1976330043">
              <w:marLeft w:val="0"/>
              <w:marRight w:val="0"/>
              <w:marTop w:val="0"/>
              <w:marBottom w:val="0"/>
              <w:divBdr>
                <w:top w:val="none" w:sz="0" w:space="0" w:color="auto"/>
                <w:left w:val="none" w:sz="0" w:space="0" w:color="auto"/>
                <w:bottom w:val="none" w:sz="0" w:space="0" w:color="auto"/>
                <w:right w:val="none" w:sz="0" w:space="0" w:color="auto"/>
              </w:divBdr>
            </w:div>
          </w:divsChild>
        </w:div>
        <w:div w:id="1902056107">
          <w:marLeft w:val="0"/>
          <w:marRight w:val="0"/>
          <w:marTop w:val="0"/>
          <w:marBottom w:val="0"/>
          <w:divBdr>
            <w:top w:val="none" w:sz="0" w:space="0" w:color="auto"/>
            <w:left w:val="none" w:sz="0" w:space="0" w:color="auto"/>
            <w:bottom w:val="none" w:sz="0" w:space="0" w:color="auto"/>
            <w:right w:val="none" w:sz="0" w:space="0" w:color="auto"/>
          </w:divBdr>
          <w:divsChild>
            <w:div w:id="1600603741">
              <w:marLeft w:val="0"/>
              <w:marRight w:val="0"/>
              <w:marTop w:val="0"/>
              <w:marBottom w:val="0"/>
              <w:divBdr>
                <w:top w:val="none" w:sz="0" w:space="0" w:color="auto"/>
                <w:left w:val="none" w:sz="0" w:space="0" w:color="auto"/>
                <w:bottom w:val="none" w:sz="0" w:space="0" w:color="auto"/>
                <w:right w:val="none" w:sz="0" w:space="0" w:color="auto"/>
              </w:divBdr>
            </w:div>
          </w:divsChild>
        </w:div>
        <w:div w:id="431052657">
          <w:marLeft w:val="0"/>
          <w:marRight w:val="0"/>
          <w:marTop w:val="0"/>
          <w:marBottom w:val="0"/>
          <w:divBdr>
            <w:top w:val="none" w:sz="0" w:space="0" w:color="auto"/>
            <w:left w:val="none" w:sz="0" w:space="0" w:color="auto"/>
            <w:bottom w:val="none" w:sz="0" w:space="0" w:color="auto"/>
            <w:right w:val="none" w:sz="0" w:space="0" w:color="auto"/>
          </w:divBdr>
          <w:divsChild>
            <w:div w:id="784424136">
              <w:marLeft w:val="0"/>
              <w:marRight w:val="0"/>
              <w:marTop w:val="0"/>
              <w:marBottom w:val="0"/>
              <w:divBdr>
                <w:top w:val="none" w:sz="0" w:space="0" w:color="auto"/>
                <w:left w:val="none" w:sz="0" w:space="0" w:color="auto"/>
                <w:bottom w:val="none" w:sz="0" w:space="0" w:color="auto"/>
                <w:right w:val="none" w:sz="0" w:space="0" w:color="auto"/>
              </w:divBdr>
            </w:div>
          </w:divsChild>
        </w:div>
        <w:div w:id="1885829379">
          <w:marLeft w:val="0"/>
          <w:marRight w:val="0"/>
          <w:marTop w:val="0"/>
          <w:marBottom w:val="0"/>
          <w:divBdr>
            <w:top w:val="none" w:sz="0" w:space="0" w:color="auto"/>
            <w:left w:val="none" w:sz="0" w:space="0" w:color="auto"/>
            <w:bottom w:val="none" w:sz="0" w:space="0" w:color="auto"/>
            <w:right w:val="none" w:sz="0" w:space="0" w:color="auto"/>
          </w:divBdr>
          <w:divsChild>
            <w:div w:id="978461201">
              <w:marLeft w:val="0"/>
              <w:marRight w:val="0"/>
              <w:marTop w:val="0"/>
              <w:marBottom w:val="0"/>
              <w:divBdr>
                <w:top w:val="none" w:sz="0" w:space="0" w:color="auto"/>
                <w:left w:val="none" w:sz="0" w:space="0" w:color="auto"/>
                <w:bottom w:val="none" w:sz="0" w:space="0" w:color="auto"/>
                <w:right w:val="none" w:sz="0" w:space="0" w:color="auto"/>
              </w:divBdr>
            </w:div>
          </w:divsChild>
        </w:div>
        <w:div w:id="1776318578">
          <w:marLeft w:val="0"/>
          <w:marRight w:val="0"/>
          <w:marTop w:val="0"/>
          <w:marBottom w:val="0"/>
          <w:divBdr>
            <w:top w:val="none" w:sz="0" w:space="0" w:color="auto"/>
            <w:left w:val="none" w:sz="0" w:space="0" w:color="auto"/>
            <w:bottom w:val="none" w:sz="0" w:space="0" w:color="auto"/>
            <w:right w:val="none" w:sz="0" w:space="0" w:color="auto"/>
          </w:divBdr>
          <w:divsChild>
            <w:div w:id="638806146">
              <w:marLeft w:val="0"/>
              <w:marRight w:val="0"/>
              <w:marTop w:val="0"/>
              <w:marBottom w:val="0"/>
              <w:divBdr>
                <w:top w:val="none" w:sz="0" w:space="0" w:color="auto"/>
                <w:left w:val="none" w:sz="0" w:space="0" w:color="auto"/>
                <w:bottom w:val="none" w:sz="0" w:space="0" w:color="auto"/>
                <w:right w:val="none" w:sz="0" w:space="0" w:color="auto"/>
              </w:divBdr>
            </w:div>
          </w:divsChild>
        </w:div>
        <w:div w:id="2050302077">
          <w:marLeft w:val="0"/>
          <w:marRight w:val="0"/>
          <w:marTop w:val="0"/>
          <w:marBottom w:val="0"/>
          <w:divBdr>
            <w:top w:val="none" w:sz="0" w:space="0" w:color="auto"/>
            <w:left w:val="none" w:sz="0" w:space="0" w:color="auto"/>
            <w:bottom w:val="none" w:sz="0" w:space="0" w:color="auto"/>
            <w:right w:val="none" w:sz="0" w:space="0" w:color="auto"/>
          </w:divBdr>
          <w:divsChild>
            <w:div w:id="1538928920">
              <w:marLeft w:val="0"/>
              <w:marRight w:val="0"/>
              <w:marTop w:val="0"/>
              <w:marBottom w:val="0"/>
              <w:divBdr>
                <w:top w:val="none" w:sz="0" w:space="0" w:color="auto"/>
                <w:left w:val="none" w:sz="0" w:space="0" w:color="auto"/>
                <w:bottom w:val="none" w:sz="0" w:space="0" w:color="auto"/>
                <w:right w:val="none" w:sz="0" w:space="0" w:color="auto"/>
              </w:divBdr>
            </w:div>
          </w:divsChild>
        </w:div>
        <w:div w:id="1164784947">
          <w:marLeft w:val="0"/>
          <w:marRight w:val="0"/>
          <w:marTop w:val="0"/>
          <w:marBottom w:val="0"/>
          <w:divBdr>
            <w:top w:val="none" w:sz="0" w:space="0" w:color="auto"/>
            <w:left w:val="none" w:sz="0" w:space="0" w:color="auto"/>
            <w:bottom w:val="none" w:sz="0" w:space="0" w:color="auto"/>
            <w:right w:val="none" w:sz="0" w:space="0" w:color="auto"/>
          </w:divBdr>
          <w:divsChild>
            <w:div w:id="1943872626">
              <w:marLeft w:val="0"/>
              <w:marRight w:val="0"/>
              <w:marTop w:val="0"/>
              <w:marBottom w:val="0"/>
              <w:divBdr>
                <w:top w:val="none" w:sz="0" w:space="0" w:color="auto"/>
                <w:left w:val="none" w:sz="0" w:space="0" w:color="auto"/>
                <w:bottom w:val="none" w:sz="0" w:space="0" w:color="auto"/>
                <w:right w:val="none" w:sz="0" w:space="0" w:color="auto"/>
              </w:divBdr>
            </w:div>
          </w:divsChild>
        </w:div>
        <w:div w:id="1244798500">
          <w:marLeft w:val="0"/>
          <w:marRight w:val="0"/>
          <w:marTop w:val="0"/>
          <w:marBottom w:val="0"/>
          <w:divBdr>
            <w:top w:val="none" w:sz="0" w:space="0" w:color="auto"/>
            <w:left w:val="none" w:sz="0" w:space="0" w:color="auto"/>
            <w:bottom w:val="none" w:sz="0" w:space="0" w:color="auto"/>
            <w:right w:val="none" w:sz="0" w:space="0" w:color="auto"/>
          </w:divBdr>
          <w:divsChild>
            <w:div w:id="1963227767">
              <w:marLeft w:val="0"/>
              <w:marRight w:val="0"/>
              <w:marTop w:val="0"/>
              <w:marBottom w:val="0"/>
              <w:divBdr>
                <w:top w:val="none" w:sz="0" w:space="0" w:color="auto"/>
                <w:left w:val="none" w:sz="0" w:space="0" w:color="auto"/>
                <w:bottom w:val="none" w:sz="0" w:space="0" w:color="auto"/>
                <w:right w:val="none" w:sz="0" w:space="0" w:color="auto"/>
              </w:divBdr>
            </w:div>
          </w:divsChild>
        </w:div>
        <w:div w:id="727611791">
          <w:marLeft w:val="0"/>
          <w:marRight w:val="0"/>
          <w:marTop w:val="0"/>
          <w:marBottom w:val="0"/>
          <w:divBdr>
            <w:top w:val="none" w:sz="0" w:space="0" w:color="auto"/>
            <w:left w:val="none" w:sz="0" w:space="0" w:color="auto"/>
            <w:bottom w:val="none" w:sz="0" w:space="0" w:color="auto"/>
            <w:right w:val="none" w:sz="0" w:space="0" w:color="auto"/>
          </w:divBdr>
          <w:divsChild>
            <w:div w:id="1504468679">
              <w:marLeft w:val="0"/>
              <w:marRight w:val="0"/>
              <w:marTop w:val="0"/>
              <w:marBottom w:val="0"/>
              <w:divBdr>
                <w:top w:val="none" w:sz="0" w:space="0" w:color="auto"/>
                <w:left w:val="none" w:sz="0" w:space="0" w:color="auto"/>
                <w:bottom w:val="none" w:sz="0" w:space="0" w:color="auto"/>
                <w:right w:val="none" w:sz="0" w:space="0" w:color="auto"/>
              </w:divBdr>
            </w:div>
          </w:divsChild>
        </w:div>
        <w:div w:id="1399353642">
          <w:marLeft w:val="0"/>
          <w:marRight w:val="0"/>
          <w:marTop w:val="0"/>
          <w:marBottom w:val="0"/>
          <w:divBdr>
            <w:top w:val="none" w:sz="0" w:space="0" w:color="auto"/>
            <w:left w:val="none" w:sz="0" w:space="0" w:color="auto"/>
            <w:bottom w:val="none" w:sz="0" w:space="0" w:color="auto"/>
            <w:right w:val="none" w:sz="0" w:space="0" w:color="auto"/>
          </w:divBdr>
          <w:divsChild>
            <w:div w:id="131101072">
              <w:marLeft w:val="0"/>
              <w:marRight w:val="0"/>
              <w:marTop w:val="0"/>
              <w:marBottom w:val="0"/>
              <w:divBdr>
                <w:top w:val="none" w:sz="0" w:space="0" w:color="auto"/>
                <w:left w:val="none" w:sz="0" w:space="0" w:color="auto"/>
                <w:bottom w:val="none" w:sz="0" w:space="0" w:color="auto"/>
                <w:right w:val="none" w:sz="0" w:space="0" w:color="auto"/>
              </w:divBdr>
            </w:div>
          </w:divsChild>
        </w:div>
        <w:div w:id="2146580396">
          <w:marLeft w:val="0"/>
          <w:marRight w:val="0"/>
          <w:marTop w:val="0"/>
          <w:marBottom w:val="0"/>
          <w:divBdr>
            <w:top w:val="none" w:sz="0" w:space="0" w:color="auto"/>
            <w:left w:val="none" w:sz="0" w:space="0" w:color="auto"/>
            <w:bottom w:val="none" w:sz="0" w:space="0" w:color="auto"/>
            <w:right w:val="none" w:sz="0" w:space="0" w:color="auto"/>
          </w:divBdr>
          <w:divsChild>
            <w:div w:id="78212130">
              <w:marLeft w:val="0"/>
              <w:marRight w:val="0"/>
              <w:marTop w:val="0"/>
              <w:marBottom w:val="0"/>
              <w:divBdr>
                <w:top w:val="none" w:sz="0" w:space="0" w:color="auto"/>
                <w:left w:val="none" w:sz="0" w:space="0" w:color="auto"/>
                <w:bottom w:val="none" w:sz="0" w:space="0" w:color="auto"/>
                <w:right w:val="none" w:sz="0" w:space="0" w:color="auto"/>
              </w:divBdr>
            </w:div>
          </w:divsChild>
        </w:div>
        <w:div w:id="930940407">
          <w:marLeft w:val="0"/>
          <w:marRight w:val="0"/>
          <w:marTop w:val="0"/>
          <w:marBottom w:val="0"/>
          <w:divBdr>
            <w:top w:val="none" w:sz="0" w:space="0" w:color="auto"/>
            <w:left w:val="none" w:sz="0" w:space="0" w:color="auto"/>
            <w:bottom w:val="none" w:sz="0" w:space="0" w:color="auto"/>
            <w:right w:val="none" w:sz="0" w:space="0" w:color="auto"/>
          </w:divBdr>
          <w:divsChild>
            <w:div w:id="1701736063">
              <w:marLeft w:val="0"/>
              <w:marRight w:val="0"/>
              <w:marTop w:val="0"/>
              <w:marBottom w:val="0"/>
              <w:divBdr>
                <w:top w:val="none" w:sz="0" w:space="0" w:color="auto"/>
                <w:left w:val="none" w:sz="0" w:space="0" w:color="auto"/>
                <w:bottom w:val="none" w:sz="0" w:space="0" w:color="auto"/>
                <w:right w:val="none" w:sz="0" w:space="0" w:color="auto"/>
              </w:divBdr>
            </w:div>
          </w:divsChild>
        </w:div>
        <w:div w:id="949623218">
          <w:marLeft w:val="0"/>
          <w:marRight w:val="0"/>
          <w:marTop w:val="0"/>
          <w:marBottom w:val="0"/>
          <w:divBdr>
            <w:top w:val="none" w:sz="0" w:space="0" w:color="auto"/>
            <w:left w:val="none" w:sz="0" w:space="0" w:color="auto"/>
            <w:bottom w:val="none" w:sz="0" w:space="0" w:color="auto"/>
            <w:right w:val="none" w:sz="0" w:space="0" w:color="auto"/>
          </w:divBdr>
          <w:divsChild>
            <w:div w:id="1524788316">
              <w:marLeft w:val="0"/>
              <w:marRight w:val="0"/>
              <w:marTop w:val="0"/>
              <w:marBottom w:val="0"/>
              <w:divBdr>
                <w:top w:val="none" w:sz="0" w:space="0" w:color="auto"/>
                <w:left w:val="none" w:sz="0" w:space="0" w:color="auto"/>
                <w:bottom w:val="none" w:sz="0" w:space="0" w:color="auto"/>
                <w:right w:val="none" w:sz="0" w:space="0" w:color="auto"/>
              </w:divBdr>
            </w:div>
          </w:divsChild>
        </w:div>
        <w:div w:id="254869647">
          <w:marLeft w:val="0"/>
          <w:marRight w:val="0"/>
          <w:marTop w:val="0"/>
          <w:marBottom w:val="0"/>
          <w:divBdr>
            <w:top w:val="none" w:sz="0" w:space="0" w:color="auto"/>
            <w:left w:val="none" w:sz="0" w:space="0" w:color="auto"/>
            <w:bottom w:val="none" w:sz="0" w:space="0" w:color="auto"/>
            <w:right w:val="none" w:sz="0" w:space="0" w:color="auto"/>
          </w:divBdr>
          <w:divsChild>
            <w:div w:id="1506626359">
              <w:marLeft w:val="0"/>
              <w:marRight w:val="0"/>
              <w:marTop w:val="0"/>
              <w:marBottom w:val="0"/>
              <w:divBdr>
                <w:top w:val="none" w:sz="0" w:space="0" w:color="auto"/>
                <w:left w:val="none" w:sz="0" w:space="0" w:color="auto"/>
                <w:bottom w:val="none" w:sz="0" w:space="0" w:color="auto"/>
                <w:right w:val="none" w:sz="0" w:space="0" w:color="auto"/>
              </w:divBdr>
            </w:div>
          </w:divsChild>
        </w:div>
        <w:div w:id="255019968">
          <w:marLeft w:val="0"/>
          <w:marRight w:val="0"/>
          <w:marTop w:val="0"/>
          <w:marBottom w:val="0"/>
          <w:divBdr>
            <w:top w:val="none" w:sz="0" w:space="0" w:color="auto"/>
            <w:left w:val="none" w:sz="0" w:space="0" w:color="auto"/>
            <w:bottom w:val="none" w:sz="0" w:space="0" w:color="auto"/>
            <w:right w:val="none" w:sz="0" w:space="0" w:color="auto"/>
          </w:divBdr>
          <w:divsChild>
            <w:div w:id="1792434737">
              <w:marLeft w:val="0"/>
              <w:marRight w:val="0"/>
              <w:marTop w:val="0"/>
              <w:marBottom w:val="0"/>
              <w:divBdr>
                <w:top w:val="none" w:sz="0" w:space="0" w:color="auto"/>
                <w:left w:val="none" w:sz="0" w:space="0" w:color="auto"/>
                <w:bottom w:val="none" w:sz="0" w:space="0" w:color="auto"/>
                <w:right w:val="none" w:sz="0" w:space="0" w:color="auto"/>
              </w:divBdr>
            </w:div>
          </w:divsChild>
        </w:div>
        <w:div w:id="1345404870">
          <w:marLeft w:val="0"/>
          <w:marRight w:val="0"/>
          <w:marTop w:val="0"/>
          <w:marBottom w:val="0"/>
          <w:divBdr>
            <w:top w:val="none" w:sz="0" w:space="0" w:color="auto"/>
            <w:left w:val="none" w:sz="0" w:space="0" w:color="auto"/>
            <w:bottom w:val="none" w:sz="0" w:space="0" w:color="auto"/>
            <w:right w:val="none" w:sz="0" w:space="0" w:color="auto"/>
          </w:divBdr>
          <w:divsChild>
            <w:div w:id="634677788">
              <w:marLeft w:val="0"/>
              <w:marRight w:val="0"/>
              <w:marTop w:val="0"/>
              <w:marBottom w:val="0"/>
              <w:divBdr>
                <w:top w:val="none" w:sz="0" w:space="0" w:color="auto"/>
                <w:left w:val="none" w:sz="0" w:space="0" w:color="auto"/>
                <w:bottom w:val="none" w:sz="0" w:space="0" w:color="auto"/>
                <w:right w:val="none" w:sz="0" w:space="0" w:color="auto"/>
              </w:divBdr>
            </w:div>
          </w:divsChild>
        </w:div>
        <w:div w:id="709305034">
          <w:marLeft w:val="0"/>
          <w:marRight w:val="0"/>
          <w:marTop w:val="0"/>
          <w:marBottom w:val="0"/>
          <w:divBdr>
            <w:top w:val="none" w:sz="0" w:space="0" w:color="auto"/>
            <w:left w:val="none" w:sz="0" w:space="0" w:color="auto"/>
            <w:bottom w:val="none" w:sz="0" w:space="0" w:color="auto"/>
            <w:right w:val="none" w:sz="0" w:space="0" w:color="auto"/>
          </w:divBdr>
          <w:divsChild>
            <w:div w:id="913508884">
              <w:marLeft w:val="0"/>
              <w:marRight w:val="0"/>
              <w:marTop w:val="0"/>
              <w:marBottom w:val="0"/>
              <w:divBdr>
                <w:top w:val="none" w:sz="0" w:space="0" w:color="auto"/>
                <w:left w:val="none" w:sz="0" w:space="0" w:color="auto"/>
                <w:bottom w:val="none" w:sz="0" w:space="0" w:color="auto"/>
                <w:right w:val="none" w:sz="0" w:space="0" w:color="auto"/>
              </w:divBdr>
            </w:div>
          </w:divsChild>
        </w:div>
        <w:div w:id="1520924497">
          <w:marLeft w:val="0"/>
          <w:marRight w:val="0"/>
          <w:marTop w:val="0"/>
          <w:marBottom w:val="0"/>
          <w:divBdr>
            <w:top w:val="none" w:sz="0" w:space="0" w:color="auto"/>
            <w:left w:val="none" w:sz="0" w:space="0" w:color="auto"/>
            <w:bottom w:val="none" w:sz="0" w:space="0" w:color="auto"/>
            <w:right w:val="none" w:sz="0" w:space="0" w:color="auto"/>
          </w:divBdr>
          <w:divsChild>
            <w:div w:id="807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786">
      <w:bodyDiv w:val="1"/>
      <w:marLeft w:val="0"/>
      <w:marRight w:val="0"/>
      <w:marTop w:val="0"/>
      <w:marBottom w:val="0"/>
      <w:divBdr>
        <w:top w:val="none" w:sz="0" w:space="0" w:color="auto"/>
        <w:left w:val="none" w:sz="0" w:space="0" w:color="auto"/>
        <w:bottom w:val="none" w:sz="0" w:space="0" w:color="auto"/>
        <w:right w:val="none" w:sz="0" w:space="0" w:color="auto"/>
      </w:divBdr>
    </w:div>
    <w:div w:id="676344775">
      <w:bodyDiv w:val="1"/>
      <w:marLeft w:val="0"/>
      <w:marRight w:val="0"/>
      <w:marTop w:val="0"/>
      <w:marBottom w:val="0"/>
      <w:divBdr>
        <w:top w:val="none" w:sz="0" w:space="0" w:color="auto"/>
        <w:left w:val="none" w:sz="0" w:space="0" w:color="auto"/>
        <w:bottom w:val="none" w:sz="0" w:space="0" w:color="auto"/>
        <w:right w:val="none" w:sz="0" w:space="0" w:color="auto"/>
      </w:divBdr>
    </w:div>
    <w:div w:id="869302157">
      <w:bodyDiv w:val="1"/>
      <w:marLeft w:val="0"/>
      <w:marRight w:val="0"/>
      <w:marTop w:val="0"/>
      <w:marBottom w:val="0"/>
      <w:divBdr>
        <w:top w:val="none" w:sz="0" w:space="0" w:color="auto"/>
        <w:left w:val="none" w:sz="0" w:space="0" w:color="auto"/>
        <w:bottom w:val="none" w:sz="0" w:space="0" w:color="auto"/>
        <w:right w:val="none" w:sz="0" w:space="0" w:color="auto"/>
      </w:divBdr>
    </w:div>
    <w:div w:id="1025866525">
      <w:bodyDiv w:val="1"/>
      <w:marLeft w:val="0"/>
      <w:marRight w:val="0"/>
      <w:marTop w:val="0"/>
      <w:marBottom w:val="0"/>
      <w:divBdr>
        <w:top w:val="none" w:sz="0" w:space="0" w:color="auto"/>
        <w:left w:val="none" w:sz="0" w:space="0" w:color="auto"/>
        <w:bottom w:val="none" w:sz="0" w:space="0" w:color="auto"/>
        <w:right w:val="none" w:sz="0" w:space="0" w:color="auto"/>
      </w:divBdr>
    </w:div>
    <w:div w:id="1069422031">
      <w:bodyDiv w:val="1"/>
      <w:marLeft w:val="0"/>
      <w:marRight w:val="0"/>
      <w:marTop w:val="0"/>
      <w:marBottom w:val="0"/>
      <w:divBdr>
        <w:top w:val="none" w:sz="0" w:space="0" w:color="auto"/>
        <w:left w:val="none" w:sz="0" w:space="0" w:color="auto"/>
        <w:bottom w:val="none" w:sz="0" w:space="0" w:color="auto"/>
        <w:right w:val="none" w:sz="0" w:space="0" w:color="auto"/>
      </w:divBdr>
      <w:divsChild>
        <w:div w:id="1883519348">
          <w:marLeft w:val="0"/>
          <w:marRight w:val="0"/>
          <w:marTop w:val="0"/>
          <w:marBottom w:val="0"/>
          <w:divBdr>
            <w:top w:val="none" w:sz="0" w:space="0" w:color="auto"/>
            <w:left w:val="none" w:sz="0" w:space="0" w:color="auto"/>
            <w:bottom w:val="none" w:sz="0" w:space="0" w:color="auto"/>
            <w:right w:val="none" w:sz="0" w:space="0" w:color="auto"/>
          </w:divBdr>
          <w:divsChild>
            <w:div w:id="464204596">
              <w:marLeft w:val="0"/>
              <w:marRight w:val="0"/>
              <w:marTop w:val="0"/>
              <w:marBottom w:val="0"/>
              <w:divBdr>
                <w:top w:val="none" w:sz="0" w:space="0" w:color="auto"/>
                <w:left w:val="none" w:sz="0" w:space="0" w:color="auto"/>
                <w:bottom w:val="none" w:sz="0" w:space="0" w:color="auto"/>
                <w:right w:val="none" w:sz="0" w:space="0" w:color="auto"/>
              </w:divBdr>
            </w:div>
          </w:divsChild>
        </w:div>
        <w:div w:id="449320245">
          <w:marLeft w:val="0"/>
          <w:marRight w:val="0"/>
          <w:marTop w:val="0"/>
          <w:marBottom w:val="0"/>
          <w:divBdr>
            <w:top w:val="none" w:sz="0" w:space="0" w:color="auto"/>
            <w:left w:val="none" w:sz="0" w:space="0" w:color="auto"/>
            <w:bottom w:val="none" w:sz="0" w:space="0" w:color="auto"/>
            <w:right w:val="none" w:sz="0" w:space="0" w:color="auto"/>
          </w:divBdr>
          <w:divsChild>
            <w:div w:id="610359903">
              <w:marLeft w:val="0"/>
              <w:marRight w:val="0"/>
              <w:marTop w:val="0"/>
              <w:marBottom w:val="0"/>
              <w:divBdr>
                <w:top w:val="none" w:sz="0" w:space="0" w:color="auto"/>
                <w:left w:val="none" w:sz="0" w:space="0" w:color="auto"/>
                <w:bottom w:val="none" w:sz="0" w:space="0" w:color="auto"/>
                <w:right w:val="none" w:sz="0" w:space="0" w:color="auto"/>
              </w:divBdr>
            </w:div>
          </w:divsChild>
        </w:div>
        <w:div w:id="1668558513">
          <w:marLeft w:val="0"/>
          <w:marRight w:val="0"/>
          <w:marTop w:val="0"/>
          <w:marBottom w:val="0"/>
          <w:divBdr>
            <w:top w:val="none" w:sz="0" w:space="0" w:color="auto"/>
            <w:left w:val="none" w:sz="0" w:space="0" w:color="auto"/>
            <w:bottom w:val="none" w:sz="0" w:space="0" w:color="auto"/>
            <w:right w:val="none" w:sz="0" w:space="0" w:color="auto"/>
          </w:divBdr>
          <w:divsChild>
            <w:div w:id="585116457">
              <w:marLeft w:val="0"/>
              <w:marRight w:val="0"/>
              <w:marTop w:val="0"/>
              <w:marBottom w:val="0"/>
              <w:divBdr>
                <w:top w:val="none" w:sz="0" w:space="0" w:color="auto"/>
                <w:left w:val="none" w:sz="0" w:space="0" w:color="auto"/>
                <w:bottom w:val="none" w:sz="0" w:space="0" w:color="auto"/>
                <w:right w:val="none" w:sz="0" w:space="0" w:color="auto"/>
              </w:divBdr>
            </w:div>
          </w:divsChild>
        </w:div>
        <w:div w:id="772672082">
          <w:marLeft w:val="0"/>
          <w:marRight w:val="0"/>
          <w:marTop w:val="0"/>
          <w:marBottom w:val="0"/>
          <w:divBdr>
            <w:top w:val="none" w:sz="0" w:space="0" w:color="auto"/>
            <w:left w:val="none" w:sz="0" w:space="0" w:color="auto"/>
            <w:bottom w:val="none" w:sz="0" w:space="0" w:color="auto"/>
            <w:right w:val="none" w:sz="0" w:space="0" w:color="auto"/>
          </w:divBdr>
          <w:divsChild>
            <w:div w:id="1261060926">
              <w:marLeft w:val="0"/>
              <w:marRight w:val="0"/>
              <w:marTop w:val="0"/>
              <w:marBottom w:val="0"/>
              <w:divBdr>
                <w:top w:val="none" w:sz="0" w:space="0" w:color="auto"/>
                <w:left w:val="none" w:sz="0" w:space="0" w:color="auto"/>
                <w:bottom w:val="none" w:sz="0" w:space="0" w:color="auto"/>
                <w:right w:val="none" w:sz="0" w:space="0" w:color="auto"/>
              </w:divBdr>
            </w:div>
          </w:divsChild>
        </w:div>
        <w:div w:id="357898573">
          <w:marLeft w:val="0"/>
          <w:marRight w:val="0"/>
          <w:marTop w:val="0"/>
          <w:marBottom w:val="0"/>
          <w:divBdr>
            <w:top w:val="none" w:sz="0" w:space="0" w:color="auto"/>
            <w:left w:val="none" w:sz="0" w:space="0" w:color="auto"/>
            <w:bottom w:val="none" w:sz="0" w:space="0" w:color="auto"/>
            <w:right w:val="none" w:sz="0" w:space="0" w:color="auto"/>
          </w:divBdr>
          <w:divsChild>
            <w:div w:id="2062361333">
              <w:marLeft w:val="0"/>
              <w:marRight w:val="0"/>
              <w:marTop w:val="0"/>
              <w:marBottom w:val="0"/>
              <w:divBdr>
                <w:top w:val="none" w:sz="0" w:space="0" w:color="auto"/>
                <w:left w:val="none" w:sz="0" w:space="0" w:color="auto"/>
                <w:bottom w:val="none" w:sz="0" w:space="0" w:color="auto"/>
                <w:right w:val="none" w:sz="0" w:space="0" w:color="auto"/>
              </w:divBdr>
            </w:div>
          </w:divsChild>
        </w:div>
        <w:div w:id="1573273187">
          <w:marLeft w:val="0"/>
          <w:marRight w:val="0"/>
          <w:marTop w:val="0"/>
          <w:marBottom w:val="0"/>
          <w:divBdr>
            <w:top w:val="none" w:sz="0" w:space="0" w:color="auto"/>
            <w:left w:val="none" w:sz="0" w:space="0" w:color="auto"/>
            <w:bottom w:val="none" w:sz="0" w:space="0" w:color="auto"/>
            <w:right w:val="none" w:sz="0" w:space="0" w:color="auto"/>
          </w:divBdr>
          <w:divsChild>
            <w:div w:id="826243069">
              <w:marLeft w:val="0"/>
              <w:marRight w:val="0"/>
              <w:marTop w:val="0"/>
              <w:marBottom w:val="0"/>
              <w:divBdr>
                <w:top w:val="none" w:sz="0" w:space="0" w:color="auto"/>
                <w:left w:val="none" w:sz="0" w:space="0" w:color="auto"/>
                <w:bottom w:val="none" w:sz="0" w:space="0" w:color="auto"/>
                <w:right w:val="none" w:sz="0" w:space="0" w:color="auto"/>
              </w:divBdr>
            </w:div>
          </w:divsChild>
        </w:div>
        <w:div w:id="1136334696">
          <w:marLeft w:val="0"/>
          <w:marRight w:val="0"/>
          <w:marTop w:val="0"/>
          <w:marBottom w:val="0"/>
          <w:divBdr>
            <w:top w:val="none" w:sz="0" w:space="0" w:color="auto"/>
            <w:left w:val="none" w:sz="0" w:space="0" w:color="auto"/>
            <w:bottom w:val="none" w:sz="0" w:space="0" w:color="auto"/>
            <w:right w:val="none" w:sz="0" w:space="0" w:color="auto"/>
          </w:divBdr>
          <w:divsChild>
            <w:div w:id="1822312401">
              <w:marLeft w:val="0"/>
              <w:marRight w:val="0"/>
              <w:marTop w:val="0"/>
              <w:marBottom w:val="0"/>
              <w:divBdr>
                <w:top w:val="none" w:sz="0" w:space="0" w:color="auto"/>
                <w:left w:val="none" w:sz="0" w:space="0" w:color="auto"/>
                <w:bottom w:val="none" w:sz="0" w:space="0" w:color="auto"/>
                <w:right w:val="none" w:sz="0" w:space="0" w:color="auto"/>
              </w:divBdr>
            </w:div>
          </w:divsChild>
        </w:div>
        <w:div w:id="723331169">
          <w:marLeft w:val="0"/>
          <w:marRight w:val="0"/>
          <w:marTop w:val="0"/>
          <w:marBottom w:val="0"/>
          <w:divBdr>
            <w:top w:val="none" w:sz="0" w:space="0" w:color="auto"/>
            <w:left w:val="none" w:sz="0" w:space="0" w:color="auto"/>
            <w:bottom w:val="none" w:sz="0" w:space="0" w:color="auto"/>
            <w:right w:val="none" w:sz="0" w:space="0" w:color="auto"/>
          </w:divBdr>
          <w:divsChild>
            <w:div w:id="1978678311">
              <w:marLeft w:val="0"/>
              <w:marRight w:val="0"/>
              <w:marTop w:val="0"/>
              <w:marBottom w:val="0"/>
              <w:divBdr>
                <w:top w:val="none" w:sz="0" w:space="0" w:color="auto"/>
                <w:left w:val="none" w:sz="0" w:space="0" w:color="auto"/>
                <w:bottom w:val="none" w:sz="0" w:space="0" w:color="auto"/>
                <w:right w:val="none" w:sz="0" w:space="0" w:color="auto"/>
              </w:divBdr>
            </w:div>
          </w:divsChild>
        </w:div>
        <w:div w:id="1629775108">
          <w:marLeft w:val="0"/>
          <w:marRight w:val="0"/>
          <w:marTop w:val="0"/>
          <w:marBottom w:val="0"/>
          <w:divBdr>
            <w:top w:val="none" w:sz="0" w:space="0" w:color="auto"/>
            <w:left w:val="none" w:sz="0" w:space="0" w:color="auto"/>
            <w:bottom w:val="none" w:sz="0" w:space="0" w:color="auto"/>
            <w:right w:val="none" w:sz="0" w:space="0" w:color="auto"/>
          </w:divBdr>
          <w:divsChild>
            <w:div w:id="312032132">
              <w:marLeft w:val="0"/>
              <w:marRight w:val="0"/>
              <w:marTop w:val="0"/>
              <w:marBottom w:val="0"/>
              <w:divBdr>
                <w:top w:val="none" w:sz="0" w:space="0" w:color="auto"/>
                <w:left w:val="none" w:sz="0" w:space="0" w:color="auto"/>
                <w:bottom w:val="none" w:sz="0" w:space="0" w:color="auto"/>
                <w:right w:val="none" w:sz="0" w:space="0" w:color="auto"/>
              </w:divBdr>
            </w:div>
          </w:divsChild>
        </w:div>
        <w:div w:id="535049725">
          <w:marLeft w:val="0"/>
          <w:marRight w:val="0"/>
          <w:marTop w:val="0"/>
          <w:marBottom w:val="0"/>
          <w:divBdr>
            <w:top w:val="none" w:sz="0" w:space="0" w:color="auto"/>
            <w:left w:val="none" w:sz="0" w:space="0" w:color="auto"/>
            <w:bottom w:val="none" w:sz="0" w:space="0" w:color="auto"/>
            <w:right w:val="none" w:sz="0" w:space="0" w:color="auto"/>
          </w:divBdr>
          <w:divsChild>
            <w:div w:id="1758555294">
              <w:marLeft w:val="0"/>
              <w:marRight w:val="0"/>
              <w:marTop w:val="0"/>
              <w:marBottom w:val="0"/>
              <w:divBdr>
                <w:top w:val="none" w:sz="0" w:space="0" w:color="auto"/>
                <w:left w:val="none" w:sz="0" w:space="0" w:color="auto"/>
                <w:bottom w:val="none" w:sz="0" w:space="0" w:color="auto"/>
                <w:right w:val="none" w:sz="0" w:space="0" w:color="auto"/>
              </w:divBdr>
            </w:div>
          </w:divsChild>
        </w:div>
        <w:div w:id="873812369">
          <w:marLeft w:val="0"/>
          <w:marRight w:val="0"/>
          <w:marTop w:val="0"/>
          <w:marBottom w:val="0"/>
          <w:divBdr>
            <w:top w:val="none" w:sz="0" w:space="0" w:color="auto"/>
            <w:left w:val="none" w:sz="0" w:space="0" w:color="auto"/>
            <w:bottom w:val="none" w:sz="0" w:space="0" w:color="auto"/>
            <w:right w:val="none" w:sz="0" w:space="0" w:color="auto"/>
          </w:divBdr>
          <w:divsChild>
            <w:div w:id="830414781">
              <w:marLeft w:val="0"/>
              <w:marRight w:val="0"/>
              <w:marTop w:val="0"/>
              <w:marBottom w:val="0"/>
              <w:divBdr>
                <w:top w:val="none" w:sz="0" w:space="0" w:color="auto"/>
                <w:left w:val="none" w:sz="0" w:space="0" w:color="auto"/>
                <w:bottom w:val="none" w:sz="0" w:space="0" w:color="auto"/>
                <w:right w:val="none" w:sz="0" w:space="0" w:color="auto"/>
              </w:divBdr>
            </w:div>
          </w:divsChild>
        </w:div>
        <w:div w:id="166137522">
          <w:marLeft w:val="0"/>
          <w:marRight w:val="0"/>
          <w:marTop w:val="0"/>
          <w:marBottom w:val="0"/>
          <w:divBdr>
            <w:top w:val="none" w:sz="0" w:space="0" w:color="auto"/>
            <w:left w:val="none" w:sz="0" w:space="0" w:color="auto"/>
            <w:bottom w:val="none" w:sz="0" w:space="0" w:color="auto"/>
            <w:right w:val="none" w:sz="0" w:space="0" w:color="auto"/>
          </w:divBdr>
          <w:divsChild>
            <w:div w:id="1077247669">
              <w:marLeft w:val="0"/>
              <w:marRight w:val="0"/>
              <w:marTop w:val="0"/>
              <w:marBottom w:val="0"/>
              <w:divBdr>
                <w:top w:val="none" w:sz="0" w:space="0" w:color="auto"/>
                <w:left w:val="none" w:sz="0" w:space="0" w:color="auto"/>
                <w:bottom w:val="none" w:sz="0" w:space="0" w:color="auto"/>
                <w:right w:val="none" w:sz="0" w:space="0" w:color="auto"/>
              </w:divBdr>
            </w:div>
          </w:divsChild>
        </w:div>
        <w:div w:id="231741644">
          <w:marLeft w:val="0"/>
          <w:marRight w:val="0"/>
          <w:marTop w:val="0"/>
          <w:marBottom w:val="0"/>
          <w:divBdr>
            <w:top w:val="none" w:sz="0" w:space="0" w:color="auto"/>
            <w:left w:val="none" w:sz="0" w:space="0" w:color="auto"/>
            <w:bottom w:val="none" w:sz="0" w:space="0" w:color="auto"/>
            <w:right w:val="none" w:sz="0" w:space="0" w:color="auto"/>
          </w:divBdr>
          <w:divsChild>
            <w:div w:id="1181092281">
              <w:marLeft w:val="0"/>
              <w:marRight w:val="0"/>
              <w:marTop w:val="0"/>
              <w:marBottom w:val="0"/>
              <w:divBdr>
                <w:top w:val="none" w:sz="0" w:space="0" w:color="auto"/>
                <w:left w:val="none" w:sz="0" w:space="0" w:color="auto"/>
                <w:bottom w:val="none" w:sz="0" w:space="0" w:color="auto"/>
                <w:right w:val="none" w:sz="0" w:space="0" w:color="auto"/>
              </w:divBdr>
            </w:div>
          </w:divsChild>
        </w:div>
        <w:div w:id="1746756554">
          <w:marLeft w:val="0"/>
          <w:marRight w:val="0"/>
          <w:marTop w:val="0"/>
          <w:marBottom w:val="0"/>
          <w:divBdr>
            <w:top w:val="none" w:sz="0" w:space="0" w:color="auto"/>
            <w:left w:val="none" w:sz="0" w:space="0" w:color="auto"/>
            <w:bottom w:val="none" w:sz="0" w:space="0" w:color="auto"/>
            <w:right w:val="none" w:sz="0" w:space="0" w:color="auto"/>
          </w:divBdr>
          <w:divsChild>
            <w:div w:id="13889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867">
      <w:bodyDiv w:val="1"/>
      <w:marLeft w:val="0"/>
      <w:marRight w:val="0"/>
      <w:marTop w:val="0"/>
      <w:marBottom w:val="0"/>
      <w:divBdr>
        <w:top w:val="none" w:sz="0" w:space="0" w:color="auto"/>
        <w:left w:val="none" w:sz="0" w:space="0" w:color="auto"/>
        <w:bottom w:val="none" w:sz="0" w:space="0" w:color="auto"/>
        <w:right w:val="none" w:sz="0" w:space="0" w:color="auto"/>
      </w:divBdr>
    </w:div>
    <w:div w:id="1272784139">
      <w:bodyDiv w:val="1"/>
      <w:marLeft w:val="0"/>
      <w:marRight w:val="0"/>
      <w:marTop w:val="0"/>
      <w:marBottom w:val="0"/>
      <w:divBdr>
        <w:top w:val="none" w:sz="0" w:space="0" w:color="auto"/>
        <w:left w:val="none" w:sz="0" w:space="0" w:color="auto"/>
        <w:bottom w:val="none" w:sz="0" w:space="0" w:color="auto"/>
        <w:right w:val="none" w:sz="0" w:space="0" w:color="auto"/>
      </w:divBdr>
    </w:div>
    <w:div w:id="1295984068">
      <w:bodyDiv w:val="1"/>
      <w:marLeft w:val="0"/>
      <w:marRight w:val="0"/>
      <w:marTop w:val="0"/>
      <w:marBottom w:val="0"/>
      <w:divBdr>
        <w:top w:val="none" w:sz="0" w:space="0" w:color="auto"/>
        <w:left w:val="none" w:sz="0" w:space="0" w:color="auto"/>
        <w:bottom w:val="none" w:sz="0" w:space="0" w:color="auto"/>
        <w:right w:val="none" w:sz="0" w:space="0" w:color="auto"/>
      </w:divBdr>
    </w:div>
    <w:div w:id="1301768624">
      <w:bodyDiv w:val="1"/>
      <w:marLeft w:val="0"/>
      <w:marRight w:val="0"/>
      <w:marTop w:val="0"/>
      <w:marBottom w:val="0"/>
      <w:divBdr>
        <w:top w:val="none" w:sz="0" w:space="0" w:color="auto"/>
        <w:left w:val="none" w:sz="0" w:space="0" w:color="auto"/>
        <w:bottom w:val="none" w:sz="0" w:space="0" w:color="auto"/>
        <w:right w:val="none" w:sz="0" w:space="0" w:color="auto"/>
      </w:divBdr>
    </w:div>
    <w:div w:id="1322081129">
      <w:bodyDiv w:val="1"/>
      <w:marLeft w:val="0"/>
      <w:marRight w:val="0"/>
      <w:marTop w:val="0"/>
      <w:marBottom w:val="0"/>
      <w:divBdr>
        <w:top w:val="none" w:sz="0" w:space="0" w:color="auto"/>
        <w:left w:val="none" w:sz="0" w:space="0" w:color="auto"/>
        <w:bottom w:val="none" w:sz="0" w:space="0" w:color="auto"/>
        <w:right w:val="none" w:sz="0" w:space="0" w:color="auto"/>
      </w:divBdr>
    </w:div>
    <w:div w:id="1432235173">
      <w:bodyDiv w:val="1"/>
      <w:marLeft w:val="0"/>
      <w:marRight w:val="0"/>
      <w:marTop w:val="0"/>
      <w:marBottom w:val="0"/>
      <w:divBdr>
        <w:top w:val="none" w:sz="0" w:space="0" w:color="auto"/>
        <w:left w:val="none" w:sz="0" w:space="0" w:color="auto"/>
        <w:bottom w:val="none" w:sz="0" w:space="0" w:color="auto"/>
        <w:right w:val="none" w:sz="0" w:space="0" w:color="auto"/>
      </w:divBdr>
    </w:div>
    <w:div w:id="1607729286">
      <w:bodyDiv w:val="1"/>
      <w:marLeft w:val="0"/>
      <w:marRight w:val="0"/>
      <w:marTop w:val="0"/>
      <w:marBottom w:val="0"/>
      <w:divBdr>
        <w:top w:val="none" w:sz="0" w:space="0" w:color="auto"/>
        <w:left w:val="none" w:sz="0" w:space="0" w:color="auto"/>
        <w:bottom w:val="none" w:sz="0" w:space="0" w:color="auto"/>
        <w:right w:val="none" w:sz="0" w:space="0" w:color="auto"/>
      </w:divBdr>
    </w:div>
    <w:div w:id="1611352867">
      <w:bodyDiv w:val="1"/>
      <w:marLeft w:val="0"/>
      <w:marRight w:val="0"/>
      <w:marTop w:val="0"/>
      <w:marBottom w:val="0"/>
      <w:divBdr>
        <w:top w:val="none" w:sz="0" w:space="0" w:color="auto"/>
        <w:left w:val="none" w:sz="0" w:space="0" w:color="auto"/>
        <w:bottom w:val="none" w:sz="0" w:space="0" w:color="auto"/>
        <w:right w:val="none" w:sz="0" w:space="0" w:color="auto"/>
      </w:divBdr>
    </w:div>
    <w:div w:id="1884631984">
      <w:bodyDiv w:val="1"/>
      <w:marLeft w:val="0"/>
      <w:marRight w:val="0"/>
      <w:marTop w:val="0"/>
      <w:marBottom w:val="0"/>
      <w:divBdr>
        <w:top w:val="none" w:sz="0" w:space="0" w:color="auto"/>
        <w:left w:val="none" w:sz="0" w:space="0" w:color="auto"/>
        <w:bottom w:val="none" w:sz="0" w:space="0" w:color="auto"/>
        <w:right w:val="none" w:sz="0" w:space="0" w:color="auto"/>
      </w:divBdr>
    </w:div>
    <w:div w:id="1909995538">
      <w:bodyDiv w:val="1"/>
      <w:marLeft w:val="0"/>
      <w:marRight w:val="0"/>
      <w:marTop w:val="0"/>
      <w:marBottom w:val="0"/>
      <w:divBdr>
        <w:top w:val="none" w:sz="0" w:space="0" w:color="auto"/>
        <w:left w:val="none" w:sz="0" w:space="0" w:color="auto"/>
        <w:bottom w:val="none" w:sz="0" w:space="0" w:color="auto"/>
        <w:right w:val="none" w:sz="0" w:space="0" w:color="auto"/>
      </w:divBdr>
    </w:div>
    <w:div w:id="1915620764">
      <w:bodyDiv w:val="1"/>
      <w:marLeft w:val="0"/>
      <w:marRight w:val="0"/>
      <w:marTop w:val="0"/>
      <w:marBottom w:val="0"/>
      <w:divBdr>
        <w:top w:val="none" w:sz="0" w:space="0" w:color="auto"/>
        <w:left w:val="none" w:sz="0" w:space="0" w:color="auto"/>
        <w:bottom w:val="none" w:sz="0" w:space="0" w:color="auto"/>
        <w:right w:val="none" w:sz="0" w:space="0" w:color="auto"/>
      </w:divBdr>
    </w:div>
    <w:div w:id="1916547879">
      <w:bodyDiv w:val="1"/>
      <w:marLeft w:val="0"/>
      <w:marRight w:val="0"/>
      <w:marTop w:val="0"/>
      <w:marBottom w:val="0"/>
      <w:divBdr>
        <w:top w:val="none" w:sz="0" w:space="0" w:color="auto"/>
        <w:left w:val="none" w:sz="0" w:space="0" w:color="auto"/>
        <w:bottom w:val="none" w:sz="0" w:space="0" w:color="auto"/>
        <w:right w:val="none" w:sz="0" w:space="0" w:color="auto"/>
      </w:divBdr>
    </w:div>
    <w:div w:id="2086415427">
      <w:bodyDiv w:val="1"/>
      <w:marLeft w:val="0"/>
      <w:marRight w:val="0"/>
      <w:marTop w:val="0"/>
      <w:marBottom w:val="0"/>
      <w:divBdr>
        <w:top w:val="none" w:sz="0" w:space="0" w:color="auto"/>
        <w:left w:val="none" w:sz="0" w:space="0" w:color="auto"/>
        <w:bottom w:val="none" w:sz="0" w:space="0" w:color="auto"/>
        <w:right w:val="none" w:sz="0" w:space="0" w:color="auto"/>
      </w:divBdr>
      <w:divsChild>
        <w:div w:id="1247878821">
          <w:marLeft w:val="0"/>
          <w:marRight w:val="0"/>
          <w:marTop w:val="0"/>
          <w:marBottom w:val="0"/>
          <w:divBdr>
            <w:top w:val="none" w:sz="0" w:space="0" w:color="auto"/>
            <w:left w:val="none" w:sz="0" w:space="0" w:color="auto"/>
            <w:bottom w:val="none" w:sz="0" w:space="0" w:color="auto"/>
            <w:right w:val="none" w:sz="0" w:space="0" w:color="auto"/>
          </w:divBdr>
          <w:divsChild>
            <w:div w:id="1053504230">
              <w:marLeft w:val="0"/>
              <w:marRight w:val="0"/>
              <w:marTop w:val="0"/>
              <w:marBottom w:val="0"/>
              <w:divBdr>
                <w:top w:val="none" w:sz="0" w:space="0" w:color="auto"/>
                <w:left w:val="none" w:sz="0" w:space="0" w:color="auto"/>
                <w:bottom w:val="none" w:sz="0" w:space="0" w:color="auto"/>
                <w:right w:val="none" w:sz="0" w:space="0" w:color="auto"/>
              </w:divBdr>
            </w:div>
          </w:divsChild>
        </w:div>
        <w:div w:id="636253771">
          <w:marLeft w:val="0"/>
          <w:marRight w:val="0"/>
          <w:marTop w:val="0"/>
          <w:marBottom w:val="0"/>
          <w:divBdr>
            <w:top w:val="none" w:sz="0" w:space="0" w:color="auto"/>
            <w:left w:val="none" w:sz="0" w:space="0" w:color="auto"/>
            <w:bottom w:val="none" w:sz="0" w:space="0" w:color="auto"/>
            <w:right w:val="none" w:sz="0" w:space="0" w:color="auto"/>
          </w:divBdr>
          <w:divsChild>
            <w:div w:id="528033572">
              <w:marLeft w:val="0"/>
              <w:marRight w:val="0"/>
              <w:marTop w:val="0"/>
              <w:marBottom w:val="0"/>
              <w:divBdr>
                <w:top w:val="none" w:sz="0" w:space="0" w:color="auto"/>
                <w:left w:val="none" w:sz="0" w:space="0" w:color="auto"/>
                <w:bottom w:val="none" w:sz="0" w:space="0" w:color="auto"/>
                <w:right w:val="none" w:sz="0" w:space="0" w:color="auto"/>
              </w:divBdr>
            </w:div>
          </w:divsChild>
        </w:div>
        <w:div w:id="1679774099">
          <w:marLeft w:val="0"/>
          <w:marRight w:val="0"/>
          <w:marTop w:val="0"/>
          <w:marBottom w:val="0"/>
          <w:divBdr>
            <w:top w:val="none" w:sz="0" w:space="0" w:color="auto"/>
            <w:left w:val="none" w:sz="0" w:space="0" w:color="auto"/>
            <w:bottom w:val="none" w:sz="0" w:space="0" w:color="auto"/>
            <w:right w:val="none" w:sz="0" w:space="0" w:color="auto"/>
          </w:divBdr>
          <w:divsChild>
            <w:div w:id="863834453">
              <w:marLeft w:val="0"/>
              <w:marRight w:val="0"/>
              <w:marTop w:val="0"/>
              <w:marBottom w:val="0"/>
              <w:divBdr>
                <w:top w:val="none" w:sz="0" w:space="0" w:color="auto"/>
                <w:left w:val="none" w:sz="0" w:space="0" w:color="auto"/>
                <w:bottom w:val="none" w:sz="0" w:space="0" w:color="auto"/>
                <w:right w:val="none" w:sz="0" w:space="0" w:color="auto"/>
              </w:divBdr>
            </w:div>
          </w:divsChild>
        </w:div>
        <w:div w:id="1981616763">
          <w:marLeft w:val="0"/>
          <w:marRight w:val="0"/>
          <w:marTop w:val="0"/>
          <w:marBottom w:val="0"/>
          <w:divBdr>
            <w:top w:val="none" w:sz="0" w:space="0" w:color="auto"/>
            <w:left w:val="none" w:sz="0" w:space="0" w:color="auto"/>
            <w:bottom w:val="none" w:sz="0" w:space="0" w:color="auto"/>
            <w:right w:val="none" w:sz="0" w:space="0" w:color="auto"/>
          </w:divBdr>
          <w:divsChild>
            <w:div w:id="334111115">
              <w:marLeft w:val="0"/>
              <w:marRight w:val="0"/>
              <w:marTop w:val="0"/>
              <w:marBottom w:val="0"/>
              <w:divBdr>
                <w:top w:val="none" w:sz="0" w:space="0" w:color="auto"/>
                <w:left w:val="none" w:sz="0" w:space="0" w:color="auto"/>
                <w:bottom w:val="none" w:sz="0" w:space="0" w:color="auto"/>
                <w:right w:val="none" w:sz="0" w:space="0" w:color="auto"/>
              </w:divBdr>
            </w:div>
          </w:divsChild>
        </w:div>
        <w:div w:id="1608852332">
          <w:marLeft w:val="0"/>
          <w:marRight w:val="0"/>
          <w:marTop w:val="0"/>
          <w:marBottom w:val="0"/>
          <w:divBdr>
            <w:top w:val="none" w:sz="0" w:space="0" w:color="auto"/>
            <w:left w:val="none" w:sz="0" w:space="0" w:color="auto"/>
            <w:bottom w:val="none" w:sz="0" w:space="0" w:color="auto"/>
            <w:right w:val="none" w:sz="0" w:space="0" w:color="auto"/>
          </w:divBdr>
          <w:divsChild>
            <w:div w:id="238246761">
              <w:marLeft w:val="0"/>
              <w:marRight w:val="0"/>
              <w:marTop w:val="0"/>
              <w:marBottom w:val="0"/>
              <w:divBdr>
                <w:top w:val="none" w:sz="0" w:space="0" w:color="auto"/>
                <w:left w:val="none" w:sz="0" w:space="0" w:color="auto"/>
                <w:bottom w:val="none" w:sz="0" w:space="0" w:color="auto"/>
                <w:right w:val="none" w:sz="0" w:space="0" w:color="auto"/>
              </w:divBdr>
            </w:div>
          </w:divsChild>
        </w:div>
        <w:div w:id="619653763">
          <w:marLeft w:val="0"/>
          <w:marRight w:val="0"/>
          <w:marTop w:val="0"/>
          <w:marBottom w:val="0"/>
          <w:divBdr>
            <w:top w:val="none" w:sz="0" w:space="0" w:color="auto"/>
            <w:left w:val="none" w:sz="0" w:space="0" w:color="auto"/>
            <w:bottom w:val="none" w:sz="0" w:space="0" w:color="auto"/>
            <w:right w:val="none" w:sz="0" w:space="0" w:color="auto"/>
          </w:divBdr>
          <w:divsChild>
            <w:div w:id="2037536058">
              <w:marLeft w:val="0"/>
              <w:marRight w:val="0"/>
              <w:marTop w:val="0"/>
              <w:marBottom w:val="0"/>
              <w:divBdr>
                <w:top w:val="none" w:sz="0" w:space="0" w:color="auto"/>
                <w:left w:val="none" w:sz="0" w:space="0" w:color="auto"/>
                <w:bottom w:val="none" w:sz="0" w:space="0" w:color="auto"/>
                <w:right w:val="none" w:sz="0" w:space="0" w:color="auto"/>
              </w:divBdr>
            </w:div>
          </w:divsChild>
        </w:div>
        <w:div w:id="1611739883">
          <w:marLeft w:val="0"/>
          <w:marRight w:val="0"/>
          <w:marTop w:val="0"/>
          <w:marBottom w:val="0"/>
          <w:divBdr>
            <w:top w:val="none" w:sz="0" w:space="0" w:color="auto"/>
            <w:left w:val="none" w:sz="0" w:space="0" w:color="auto"/>
            <w:bottom w:val="none" w:sz="0" w:space="0" w:color="auto"/>
            <w:right w:val="none" w:sz="0" w:space="0" w:color="auto"/>
          </w:divBdr>
          <w:divsChild>
            <w:div w:id="1726174840">
              <w:marLeft w:val="0"/>
              <w:marRight w:val="0"/>
              <w:marTop w:val="0"/>
              <w:marBottom w:val="0"/>
              <w:divBdr>
                <w:top w:val="none" w:sz="0" w:space="0" w:color="auto"/>
                <w:left w:val="none" w:sz="0" w:space="0" w:color="auto"/>
                <w:bottom w:val="none" w:sz="0" w:space="0" w:color="auto"/>
                <w:right w:val="none" w:sz="0" w:space="0" w:color="auto"/>
              </w:divBdr>
            </w:div>
          </w:divsChild>
        </w:div>
        <w:div w:id="1831871528">
          <w:marLeft w:val="0"/>
          <w:marRight w:val="0"/>
          <w:marTop w:val="0"/>
          <w:marBottom w:val="0"/>
          <w:divBdr>
            <w:top w:val="none" w:sz="0" w:space="0" w:color="auto"/>
            <w:left w:val="none" w:sz="0" w:space="0" w:color="auto"/>
            <w:bottom w:val="none" w:sz="0" w:space="0" w:color="auto"/>
            <w:right w:val="none" w:sz="0" w:space="0" w:color="auto"/>
          </w:divBdr>
          <w:divsChild>
            <w:div w:id="156699685">
              <w:marLeft w:val="0"/>
              <w:marRight w:val="0"/>
              <w:marTop w:val="0"/>
              <w:marBottom w:val="0"/>
              <w:divBdr>
                <w:top w:val="none" w:sz="0" w:space="0" w:color="auto"/>
                <w:left w:val="none" w:sz="0" w:space="0" w:color="auto"/>
                <w:bottom w:val="none" w:sz="0" w:space="0" w:color="auto"/>
                <w:right w:val="none" w:sz="0" w:space="0" w:color="auto"/>
              </w:divBdr>
            </w:div>
          </w:divsChild>
        </w:div>
        <w:div w:id="1406688029">
          <w:marLeft w:val="0"/>
          <w:marRight w:val="0"/>
          <w:marTop w:val="0"/>
          <w:marBottom w:val="0"/>
          <w:divBdr>
            <w:top w:val="none" w:sz="0" w:space="0" w:color="auto"/>
            <w:left w:val="none" w:sz="0" w:space="0" w:color="auto"/>
            <w:bottom w:val="none" w:sz="0" w:space="0" w:color="auto"/>
            <w:right w:val="none" w:sz="0" w:space="0" w:color="auto"/>
          </w:divBdr>
          <w:divsChild>
            <w:div w:id="360545881">
              <w:marLeft w:val="0"/>
              <w:marRight w:val="0"/>
              <w:marTop w:val="0"/>
              <w:marBottom w:val="0"/>
              <w:divBdr>
                <w:top w:val="none" w:sz="0" w:space="0" w:color="auto"/>
                <w:left w:val="none" w:sz="0" w:space="0" w:color="auto"/>
                <w:bottom w:val="none" w:sz="0" w:space="0" w:color="auto"/>
                <w:right w:val="none" w:sz="0" w:space="0" w:color="auto"/>
              </w:divBdr>
            </w:div>
          </w:divsChild>
        </w:div>
        <w:div w:id="274824915">
          <w:marLeft w:val="0"/>
          <w:marRight w:val="0"/>
          <w:marTop w:val="0"/>
          <w:marBottom w:val="0"/>
          <w:divBdr>
            <w:top w:val="none" w:sz="0" w:space="0" w:color="auto"/>
            <w:left w:val="none" w:sz="0" w:space="0" w:color="auto"/>
            <w:bottom w:val="none" w:sz="0" w:space="0" w:color="auto"/>
            <w:right w:val="none" w:sz="0" w:space="0" w:color="auto"/>
          </w:divBdr>
          <w:divsChild>
            <w:div w:id="445656821">
              <w:marLeft w:val="0"/>
              <w:marRight w:val="0"/>
              <w:marTop w:val="0"/>
              <w:marBottom w:val="0"/>
              <w:divBdr>
                <w:top w:val="none" w:sz="0" w:space="0" w:color="auto"/>
                <w:left w:val="none" w:sz="0" w:space="0" w:color="auto"/>
                <w:bottom w:val="none" w:sz="0" w:space="0" w:color="auto"/>
                <w:right w:val="none" w:sz="0" w:space="0" w:color="auto"/>
              </w:divBdr>
            </w:div>
          </w:divsChild>
        </w:div>
        <w:div w:id="123891333">
          <w:marLeft w:val="0"/>
          <w:marRight w:val="0"/>
          <w:marTop w:val="0"/>
          <w:marBottom w:val="0"/>
          <w:divBdr>
            <w:top w:val="none" w:sz="0" w:space="0" w:color="auto"/>
            <w:left w:val="none" w:sz="0" w:space="0" w:color="auto"/>
            <w:bottom w:val="none" w:sz="0" w:space="0" w:color="auto"/>
            <w:right w:val="none" w:sz="0" w:space="0" w:color="auto"/>
          </w:divBdr>
          <w:divsChild>
            <w:div w:id="103039938">
              <w:marLeft w:val="0"/>
              <w:marRight w:val="0"/>
              <w:marTop w:val="0"/>
              <w:marBottom w:val="0"/>
              <w:divBdr>
                <w:top w:val="none" w:sz="0" w:space="0" w:color="auto"/>
                <w:left w:val="none" w:sz="0" w:space="0" w:color="auto"/>
                <w:bottom w:val="none" w:sz="0" w:space="0" w:color="auto"/>
                <w:right w:val="none" w:sz="0" w:space="0" w:color="auto"/>
              </w:divBdr>
            </w:div>
          </w:divsChild>
        </w:div>
        <w:div w:id="1926722252">
          <w:marLeft w:val="0"/>
          <w:marRight w:val="0"/>
          <w:marTop w:val="0"/>
          <w:marBottom w:val="0"/>
          <w:divBdr>
            <w:top w:val="none" w:sz="0" w:space="0" w:color="auto"/>
            <w:left w:val="none" w:sz="0" w:space="0" w:color="auto"/>
            <w:bottom w:val="none" w:sz="0" w:space="0" w:color="auto"/>
            <w:right w:val="none" w:sz="0" w:space="0" w:color="auto"/>
          </w:divBdr>
          <w:divsChild>
            <w:div w:id="257375336">
              <w:marLeft w:val="0"/>
              <w:marRight w:val="0"/>
              <w:marTop w:val="0"/>
              <w:marBottom w:val="0"/>
              <w:divBdr>
                <w:top w:val="none" w:sz="0" w:space="0" w:color="auto"/>
                <w:left w:val="none" w:sz="0" w:space="0" w:color="auto"/>
                <w:bottom w:val="none" w:sz="0" w:space="0" w:color="auto"/>
                <w:right w:val="none" w:sz="0" w:space="0" w:color="auto"/>
              </w:divBdr>
            </w:div>
          </w:divsChild>
        </w:div>
        <w:div w:id="725832380">
          <w:marLeft w:val="0"/>
          <w:marRight w:val="0"/>
          <w:marTop w:val="0"/>
          <w:marBottom w:val="0"/>
          <w:divBdr>
            <w:top w:val="none" w:sz="0" w:space="0" w:color="auto"/>
            <w:left w:val="none" w:sz="0" w:space="0" w:color="auto"/>
            <w:bottom w:val="none" w:sz="0" w:space="0" w:color="auto"/>
            <w:right w:val="none" w:sz="0" w:space="0" w:color="auto"/>
          </w:divBdr>
          <w:divsChild>
            <w:div w:id="659192438">
              <w:marLeft w:val="0"/>
              <w:marRight w:val="0"/>
              <w:marTop w:val="0"/>
              <w:marBottom w:val="0"/>
              <w:divBdr>
                <w:top w:val="none" w:sz="0" w:space="0" w:color="auto"/>
                <w:left w:val="none" w:sz="0" w:space="0" w:color="auto"/>
                <w:bottom w:val="none" w:sz="0" w:space="0" w:color="auto"/>
                <w:right w:val="none" w:sz="0" w:space="0" w:color="auto"/>
              </w:divBdr>
            </w:div>
          </w:divsChild>
        </w:div>
        <w:div w:id="816342215">
          <w:marLeft w:val="0"/>
          <w:marRight w:val="0"/>
          <w:marTop w:val="0"/>
          <w:marBottom w:val="0"/>
          <w:divBdr>
            <w:top w:val="none" w:sz="0" w:space="0" w:color="auto"/>
            <w:left w:val="none" w:sz="0" w:space="0" w:color="auto"/>
            <w:bottom w:val="none" w:sz="0" w:space="0" w:color="auto"/>
            <w:right w:val="none" w:sz="0" w:space="0" w:color="auto"/>
          </w:divBdr>
          <w:divsChild>
            <w:div w:id="376586943">
              <w:marLeft w:val="0"/>
              <w:marRight w:val="0"/>
              <w:marTop w:val="0"/>
              <w:marBottom w:val="0"/>
              <w:divBdr>
                <w:top w:val="none" w:sz="0" w:space="0" w:color="auto"/>
                <w:left w:val="none" w:sz="0" w:space="0" w:color="auto"/>
                <w:bottom w:val="none" w:sz="0" w:space="0" w:color="auto"/>
                <w:right w:val="none" w:sz="0" w:space="0" w:color="auto"/>
              </w:divBdr>
            </w:div>
          </w:divsChild>
        </w:div>
        <w:div w:id="167182635">
          <w:marLeft w:val="0"/>
          <w:marRight w:val="0"/>
          <w:marTop w:val="0"/>
          <w:marBottom w:val="0"/>
          <w:divBdr>
            <w:top w:val="none" w:sz="0" w:space="0" w:color="auto"/>
            <w:left w:val="none" w:sz="0" w:space="0" w:color="auto"/>
            <w:bottom w:val="none" w:sz="0" w:space="0" w:color="auto"/>
            <w:right w:val="none" w:sz="0" w:space="0" w:color="auto"/>
          </w:divBdr>
          <w:divsChild>
            <w:div w:id="1572733776">
              <w:marLeft w:val="0"/>
              <w:marRight w:val="0"/>
              <w:marTop w:val="0"/>
              <w:marBottom w:val="0"/>
              <w:divBdr>
                <w:top w:val="none" w:sz="0" w:space="0" w:color="auto"/>
                <w:left w:val="none" w:sz="0" w:space="0" w:color="auto"/>
                <w:bottom w:val="none" w:sz="0" w:space="0" w:color="auto"/>
                <w:right w:val="none" w:sz="0" w:space="0" w:color="auto"/>
              </w:divBdr>
            </w:div>
          </w:divsChild>
        </w:div>
        <w:div w:id="6754903">
          <w:marLeft w:val="0"/>
          <w:marRight w:val="0"/>
          <w:marTop w:val="0"/>
          <w:marBottom w:val="0"/>
          <w:divBdr>
            <w:top w:val="none" w:sz="0" w:space="0" w:color="auto"/>
            <w:left w:val="none" w:sz="0" w:space="0" w:color="auto"/>
            <w:bottom w:val="none" w:sz="0" w:space="0" w:color="auto"/>
            <w:right w:val="none" w:sz="0" w:space="0" w:color="auto"/>
          </w:divBdr>
          <w:divsChild>
            <w:div w:id="1374618464">
              <w:marLeft w:val="0"/>
              <w:marRight w:val="0"/>
              <w:marTop w:val="0"/>
              <w:marBottom w:val="0"/>
              <w:divBdr>
                <w:top w:val="none" w:sz="0" w:space="0" w:color="auto"/>
                <w:left w:val="none" w:sz="0" w:space="0" w:color="auto"/>
                <w:bottom w:val="none" w:sz="0" w:space="0" w:color="auto"/>
                <w:right w:val="none" w:sz="0" w:space="0" w:color="auto"/>
              </w:divBdr>
            </w:div>
          </w:divsChild>
        </w:div>
        <w:div w:id="765223703">
          <w:marLeft w:val="0"/>
          <w:marRight w:val="0"/>
          <w:marTop w:val="0"/>
          <w:marBottom w:val="0"/>
          <w:divBdr>
            <w:top w:val="none" w:sz="0" w:space="0" w:color="auto"/>
            <w:left w:val="none" w:sz="0" w:space="0" w:color="auto"/>
            <w:bottom w:val="none" w:sz="0" w:space="0" w:color="auto"/>
            <w:right w:val="none" w:sz="0" w:space="0" w:color="auto"/>
          </w:divBdr>
          <w:divsChild>
            <w:div w:id="549850277">
              <w:marLeft w:val="0"/>
              <w:marRight w:val="0"/>
              <w:marTop w:val="0"/>
              <w:marBottom w:val="0"/>
              <w:divBdr>
                <w:top w:val="none" w:sz="0" w:space="0" w:color="auto"/>
                <w:left w:val="none" w:sz="0" w:space="0" w:color="auto"/>
                <w:bottom w:val="none" w:sz="0" w:space="0" w:color="auto"/>
                <w:right w:val="none" w:sz="0" w:space="0" w:color="auto"/>
              </w:divBdr>
            </w:div>
          </w:divsChild>
        </w:div>
        <w:div w:id="71510566">
          <w:marLeft w:val="0"/>
          <w:marRight w:val="0"/>
          <w:marTop w:val="0"/>
          <w:marBottom w:val="0"/>
          <w:divBdr>
            <w:top w:val="none" w:sz="0" w:space="0" w:color="auto"/>
            <w:left w:val="none" w:sz="0" w:space="0" w:color="auto"/>
            <w:bottom w:val="none" w:sz="0" w:space="0" w:color="auto"/>
            <w:right w:val="none" w:sz="0" w:space="0" w:color="auto"/>
          </w:divBdr>
          <w:divsChild>
            <w:div w:id="108284483">
              <w:marLeft w:val="0"/>
              <w:marRight w:val="0"/>
              <w:marTop w:val="0"/>
              <w:marBottom w:val="0"/>
              <w:divBdr>
                <w:top w:val="none" w:sz="0" w:space="0" w:color="auto"/>
                <w:left w:val="none" w:sz="0" w:space="0" w:color="auto"/>
                <w:bottom w:val="none" w:sz="0" w:space="0" w:color="auto"/>
                <w:right w:val="none" w:sz="0" w:space="0" w:color="auto"/>
              </w:divBdr>
            </w:div>
          </w:divsChild>
        </w:div>
        <w:div w:id="512494333">
          <w:marLeft w:val="0"/>
          <w:marRight w:val="0"/>
          <w:marTop w:val="0"/>
          <w:marBottom w:val="0"/>
          <w:divBdr>
            <w:top w:val="none" w:sz="0" w:space="0" w:color="auto"/>
            <w:left w:val="none" w:sz="0" w:space="0" w:color="auto"/>
            <w:bottom w:val="none" w:sz="0" w:space="0" w:color="auto"/>
            <w:right w:val="none" w:sz="0" w:space="0" w:color="auto"/>
          </w:divBdr>
          <w:divsChild>
            <w:div w:id="414089019">
              <w:marLeft w:val="0"/>
              <w:marRight w:val="0"/>
              <w:marTop w:val="0"/>
              <w:marBottom w:val="0"/>
              <w:divBdr>
                <w:top w:val="none" w:sz="0" w:space="0" w:color="auto"/>
                <w:left w:val="none" w:sz="0" w:space="0" w:color="auto"/>
                <w:bottom w:val="none" w:sz="0" w:space="0" w:color="auto"/>
                <w:right w:val="none" w:sz="0" w:space="0" w:color="auto"/>
              </w:divBdr>
            </w:div>
          </w:divsChild>
        </w:div>
        <w:div w:id="2119520311">
          <w:marLeft w:val="0"/>
          <w:marRight w:val="0"/>
          <w:marTop w:val="0"/>
          <w:marBottom w:val="0"/>
          <w:divBdr>
            <w:top w:val="none" w:sz="0" w:space="0" w:color="auto"/>
            <w:left w:val="none" w:sz="0" w:space="0" w:color="auto"/>
            <w:bottom w:val="none" w:sz="0" w:space="0" w:color="auto"/>
            <w:right w:val="none" w:sz="0" w:space="0" w:color="auto"/>
          </w:divBdr>
          <w:divsChild>
            <w:div w:id="653874959">
              <w:marLeft w:val="0"/>
              <w:marRight w:val="0"/>
              <w:marTop w:val="0"/>
              <w:marBottom w:val="0"/>
              <w:divBdr>
                <w:top w:val="none" w:sz="0" w:space="0" w:color="auto"/>
                <w:left w:val="none" w:sz="0" w:space="0" w:color="auto"/>
                <w:bottom w:val="none" w:sz="0" w:space="0" w:color="auto"/>
                <w:right w:val="none" w:sz="0" w:space="0" w:color="auto"/>
              </w:divBdr>
            </w:div>
          </w:divsChild>
        </w:div>
        <w:div w:id="1547444503">
          <w:marLeft w:val="0"/>
          <w:marRight w:val="0"/>
          <w:marTop w:val="0"/>
          <w:marBottom w:val="0"/>
          <w:divBdr>
            <w:top w:val="none" w:sz="0" w:space="0" w:color="auto"/>
            <w:left w:val="none" w:sz="0" w:space="0" w:color="auto"/>
            <w:bottom w:val="none" w:sz="0" w:space="0" w:color="auto"/>
            <w:right w:val="none" w:sz="0" w:space="0" w:color="auto"/>
          </w:divBdr>
          <w:divsChild>
            <w:div w:id="1601257275">
              <w:marLeft w:val="0"/>
              <w:marRight w:val="0"/>
              <w:marTop w:val="0"/>
              <w:marBottom w:val="0"/>
              <w:divBdr>
                <w:top w:val="none" w:sz="0" w:space="0" w:color="auto"/>
                <w:left w:val="none" w:sz="0" w:space="0" w:color="auto"/>
                <w:bottom w:val="none" w:sz="0" w:space="0" w:color="auto"/>
                <w:right w:val="none" w:sz="0" w:space="0" w:color="auto"/>
              </w:divBdr>
            </w:div>
          </w:divsChild>
        </w:div>
        <w:div w:id="1072240899">
          <w:marLeft w:val="0"/>
          <w:marRight w:val="0"/>
          <w:marTop w:val="0"/>
          <w:marBottom w:val="0"/>
          <w:divBdr>
            <w:top w:val="none" w:sz="0" w:space="0" w:color="auto"/>
            <w:left w:val="none" w:sz="0" w:space="0" w:color="auto"/>
            <w:bottom w:val="none" w:sz="0" w:space="0" w:color="auto"/>
            <w:right w:val="none" w:sz="0" w:space="0" w:color="auto"/>
          </w:divBdr>
          <w:divsChild>
            <w:div w:id="221137089">
              <w:marLeft w:val="0"/>
              <w:marRight w:val="0"/>
              <w:marTop w:val="0"/>
              <w:marBottom w:val="0"/>
              <w:divBdr>
                <w:top w:val="none" w:sz="0" w:space="0" w:color="auto"/>
                <w:left w:val="none" w:sz="0" w:space="0" w:color="auto"/>
                <w:bottom w:val="none" w:sz="0" w:space="0" w:color="auto"/>
                <w:right w:val="none" w:sz="0" w:space="0" w:color="auto"/>
              </w:divBdr>
            </w:div>
          </w:divsChild>
        </w:div>
        <w:div w:id="1500996141">
          <w:marLeft w:val="0"/>
          <w:marRight w:val="0"/>
          <w:marTop w:val="0"/>
          <w:marBottom w:val="0"/>
          <w:divBdr>
            <w:top w:val="none" w:sz="0" w:space="0" w:color="auto"/>
            <w:left w:val="none" w:sz="0" w:space="0" w:color="auto"/>
            <w:bottom w:val="none" w:sz="0" w:space="0" w:color="auto"/>
            <w:right w:val="none" w:sz="0" w:space="0" w:color="auto"/>
          </w:divBdr>
          <w:divsChild>
            <w:div w:id="4912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3.jpeg"/><Relationship Id="rId26" Type="http://schemas.openxmlformats.org/officeDocument/2006/relationships/chart" Target="charts/chart3.xml"/><Relationship Id="rId39" Type="http://schemas.openxmlformats.org/officeDocument/2006/relationships/hyperlink" Target="mailto:ifpri@cgiar.org" TargetMode="Externa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image" Target="media/image7.png"/><Relationship Id="rId42"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nctad.org" TargetMode="External"/><Relationship Id="rId25" Type="http://schemas.openxmlformats.org/officeDocument/2006/relationships/chart" Target="charts/chart2.xml"/><Relationship Id="rId33" Type="http://schemas.openxmlformats.org/officeDocument/2006/relationships/image" Target="media/image6.png"/><Relationship Id="rId38" Type="http://schemas.openxmlformats.org/officeDocument/2006/relationships/hyperlink" Target="http://www.ifpri.info/" TargetMode="External"/><Relationship Id="rId2" Type="http://schemas.openxmlformats.org/officeDocument/2006/relationships/customXml" Target="../customXml/item2.xml"/><Relationship Id="rId16" Type="http://schemas.openxmlformats.org/officeDocument/2006/relationships/hyperlink" Target="http://www.wits.worldbank.org" TargetMode="External"/><Relationship Id="rId20" Type="http://schemas.openxmlformats.org/officeDocument/2006/relationships/diagramLayout" Target="diagrams/layout1.xml"/><Relationship Id="rId29" Type="http://schemas.openxmlformats.org/officeDocument/2006/relationships/chart" Target="charts/chart6.xml"/><Relationship Id="rId41" Type="http://schemas.openxmlformats.org/officeDocument/2006/relationships/hyperlink" Target="http://www.ifpri.inf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1.xml"/><Relationship Id="rId32" Type="http://schemas.openxmlformats.org/officeDocument/2006/relationships/image" Target="media/image5.png"/><Relationship Id="rId37" Type="http://schemas.openxmlformats.org/officeDocument/2006/relationships/hyperlink" Target="http://www.ifpri.org/" TargetMode="External"/><Relationship Id="rId40" Type="http://schemas.openxmlformats.org/officeDocument/2006/relationships/hyperlink" Target="http://www.ifpri.org/"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agincentives.org" TargetMode="External"/><Relationship Id="rId23" Type="http://schemas.microsoft.com/office/2007/relationships/diagramDrawing" Target="diagrams/drawing1.xml"/><Relationship Id="rId28" Type="http://schemas.openxmlformats.org/officeDocument/2006/relationships/chart" Target="charts/chart5.xml"/><Relationship Id="rId36" Type="http://schemas.openxmlformats.org/officeDocument/2006/relationships/hyperlink" Target="mailto:ifpri@cgiar.org" TargetMode="External"/><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gincentives.org" TargetMode="External"/><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hyperlink" Target="https://www.oecd.org/publications/agricultural-policy-monitoring-and-evaluation-22217371.htm" TargetMode="External"/><Relationship Id="rId35" Type="http://schemas.openxmlformats.org/officeDocument/2006/relationships/image" Target="media/image8.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ARENT\Downloads\Template_WorkingPaper%20(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Data_for_website/Update_2023/NRP%20and%20Global%20Food%20Price%20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Data_for_website/Update_2023/NRP%20and%20Global%20Food%20Price%20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Support_Database/Support_Database_2025_version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Support_Database/Support_Database_2025_version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Support_Database/Support_Database_2025_version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cgiar-my.sharepoint.com/personal/a_mamun_cgiar_org/Documents/Documents/AgIncentives/Consolidate/ConsolidatedDatabase/NRA_Output/Support_Database/Support_Database_2025_version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334674346768055E-2"/>
          <c:y val="3.2086345112643286E-2"/>
          <c:w val="0.8403254483928323"/>
          <c:h val="0.83375368665674299"/>
        </c:manualLayout>
      </c:layout>
      <c:lineChart>
        <c:grouping val="standard"/>
        <c:varyColors val="0"/>
        <c:ser>
          <c:idx val="0"/>
          <c:order val="0"/>
          <c:tx>
            <c:strRef>
              <c:f>Sheet1!$C$1</c:f>
              <c:strCache>
                <c:ptCount val="1"/>
                <c:pt idx="0">
                  <c:v>NRP (%)</c:v>
                </c:pt>
              </c:strCache>
            </c:strRef>
          </c:tx>
          <c:spPr>
            <a:ln w="28575" cap="rnd">
              <a:solidFill>
                <a:schemeClr val="tx2">
                  <a:lumMod val="75000"/>
                  <a:lumOff val="25000"/>
                </a:schemeClr>
              </a:solidFill>
              <a:round/>
            </a:ln>
            <a:effectLst/>
          </c:spPr>
          <c:marker>
            <c:symbol val="diamond"/>
            <c:size val="6"/>
            <c:spPr>
              <a:solidFill>
                <a:schemeClr val="accent1"/>
              </a:solidFill>
              <a:ln w="9525">
                <a:solidFill>
                  <a:schemeClr val="accent1"/>
                </a:solidFill>
              </a:ln>
              <a:effectLst/>
            </c:spPr>
          </c:marker>
          <c:cat>
            <c:numRef>
              <c:f>Sheet1!$B$2:$B$21</c:f>
              <c:numCache>
                <c:formatCode>General</c:formatCode>
                <c:ptCount val="20"/>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Sheet1!$C$2:$C$20</c:f>
              <c:numCache>
                <c:formatCode>0.0</c:formatCode>
                <c:ptCount val="19"/>
                <c:pt idx="0">
                  <c:v>7.3651</c:v>
                </c:pt>
                <c:pt idx="1">
                  <c:v>7.1402000000000001</c:v>
                </c:pt>
                <c:pt idx="2">
                  <c:v>3.9531999999999998</c:v>
                </c:pt>
                <c:pt idx="3">
                  <c:v>0.27560000000000001</c:v>
                </c:pt>
                <c:pt idx="4">
                  <c:v>5.5399000000000003</c:v>
                </c:pt>
                <c:pt idx="5">
                  <c:v>5.6451000000000002</c:v>
                </c:pt>
                <c:pt idx="6">
                  <c:v>2.1154000000000002</c:v>
                </c:pt>
                <c:pt idx="7">
                  <c:v>6.0885999999999996</c:v>
                </c:pt>
                <c:pt idx="8">
                  <c:v>5.3390000000000004</c:v>
                </c:pt>
                <c:pt idx="9">
                  <c:v>6.0046999999999997</c:v>
                </c:pt>
                <c:pt idx="10">
                  <c:v>7.9524999999999997</c:v>
                </c:pt>
                <c:pt idx="11">
                  <c:v>7.5250000000000004</c:v>
                </c:pt>
                <c:pt idx="12">
                  <c:v>7.1558000000000002</c:v>
                </c:pt>
                <c:pt idx="13">
                  <c:v>5.4215</c:v>
                </c:pt>
                <c:pt idx="14">
                  <c:v>5.4184999999999999</c:v>
                </c:pt>
                <c:pt idx="15">
                  <c:v>6.0118999999999998</c:v>
                </c:pt>
                <c:pt idx="16">
                  <c:v>4.9238</c:v>
                </c:pt>
                <c:pt idx="17">
                  <c:v>3.1147</c:v>
                </c:pt>
                <c:pt idx="18">
                  <c:v>3.7235999999999998</c:v>
                </c:pt>
              </c:numCache>
            </c:numRef>
          </c:val>
          <c:smooth val="0"/>
          <c:extLst>
            <c:ext xmlns:c16="http://schemas.microsoft.com/office/drawing/2014/chart" uri="{C3380CC4-5D6E-409C-BE32-E72D297353CC}">
              <c16:uniqueId val="{00000000-5FED-4F25-B5E4-D99A06223C79}"/>
            </c:ext>
          </c:extLst>
        </c:ser>
        <c:dLbls>
          <c:showLegendKey val="0"/>
          <c:showVal val="0"/>
          <c:showCatName val="0"/>
          <c:showSerName val="0"/>
          <c:showPercent val="0"/>
          <c:showBubbleSize val="0"/>
        </c:dLbls>
        <c:marker val="1"/>
        <c:smooth val="0"/>
        <c:axId val="928109664"/>
        <c:axId val="928108224"/>
      </c:lineChart>
      <c:lineChart>
        <c:grouping val="standard"/>
        <c:varyColors val="0"/>
        <c:ser>
          <c:idx val="1"/>
          <c:order val="1"/>
          <c:tx>
            <c:strRef>
              <c:f>Sheet1!$D$1</c:f>
              <c:strCache>
                <c:ptCount val="1"/>
                <c:pt idx="0">
                  <c:v>Food Price Index</c:v>
                </c:pt>
              </c:strCache>
            </c:strRef>
          </c:tx>
          <c:spPr>
            <a:ln w="28575" cap="rnd">
              <a:solidFill>
                <a:schemeClr val="accent2"/>
              </a:solidFill>
              <a:round/>
            </a:ln>
            <a:effectLst/>
          </c:spPr>
          <c:marker>
            <c:symbol val="triangle"/>
            <c:size val="6"/>
            <c:spPr>
              <a:solidFill>
                <a:schemeClr val="accent2"/>
              </a:solidFill>
              <a:ln w="9525">
                <a:solidFill>
                  <a:schemeClr val="accent2"/>
                </a:solidFill>
              </a:ln>
              <a:effectLst/>
            </c:spPr>
          </c:marker>
          <c:val>
            <c:numRef>
              <c:f>Sheet1!$D$2:$D$20</c:f>
              <c:numCache>
                <c:formatCode>0.0</c:formatCode>
                <c:ptCount val="19"/>
                <c:pt idx="0">
                  <c:v>67.646799786670599</c:v>
                </c:pt>
                <c:pt idx="1">
                  <c:v>72.851981535564448</c:v>
                </c:pt>
                <c:pt idx="2">
                  <c:v>94.550250650745184</c:v>
                </c:pt>
                <c:pt idx="3">
                  <c:v>117.73787331863998</c:v>
                </c:pt>
                <c:pt idx="4">
                  <c:v>91.787852984824056</c:v>
                </c:pt>
                <c:pt idx="5">
                  <c:v>106.87404108388505</c:v>
                </c:pt>
                <c:pt idx="6">
                  <c:v>131.77593256915614</c:v>
                </c:pt>
                <c:pt idx="7">
                  <c:v>122.75021644490623</c:v>
                </c:pt>
                <c:pt idx="8">
                  <c:v>120.14390446093925</c:v>
                </c:pt>
                <c:pt idx="9">
                  <c:v>114.98315043593857</c:v>
                </c:pt>
                <c:pt idx="10">
                  <c:v>93.063812518124607</c:v>
                </c:pt>
                <c:pt idx="11">
                  <c:v>91.953037045936853</c:v>
                </c:pt>
                <c:pt idx="12">
                  <c:v>97.932546596546104</c:v>
                </c:pt>
                <c:pt idx="13">
                  <c:v>95.751774022590169</c:v>
                </c:pt>
                <c:pt idx="14">
                  <c:v>94.931294364533031</c:v>
                </c:pt>
                <c:pt idx="15">
                  <c:v>98.052504865018591</c:v>
                </c:pt>
                <c:pt idx="16">
                  <c:v>125.73406972850044</c:v>
                </c:pt>
                <c:pt idx="17">
                  <c:v>144.50986636550888</c:v>
                </c:pt>
                <c:pt idx="18">
                  <c:v>124.51966645168862</c:v>
                </c:pt>
              </c:numCache>
            </c:numRef>
          </c:val>
          <c:smooth val="0"/>
          <c:extLst>
            <c:ext xmlns:c16="http://schemas.microsoft.com/office/drawing/2014/chart" uri="{C3380CC4-5D6E-409C-BE32-E72D297353CC}">
              <c16:uniqueId val="{00000001-5FED-4F25-B5E4-D99A06223C79}"/>
            </c:ext>
          </c:extLst>
        </c:ser>
        <c:dLbls>
          <c:showLegendKey val="0"/>
          <c:showVal val="0"/>
          <c:showCatName val="0"/>
          <c:showSerName val="0"/>
          <c:showPercent val="0"/>
          <c:showBubbleSize val="0"/>
        </c:dLbls>
        <c:marker val="1"/>
        <c:smooth val="0"/>
        <c:axId val="928098504"/>
        <c:axId val="928098144"/>
      </c:lineChart>
      <c:catAx>
        <c:axId val="92810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108224"/>
        <c:crosses val="autoZero"/>
        <c:auto val="1"/>
        <c:lblAlgn val="ctr"/>
        <c:lblOffset val="100"/>
        <c:noMultiLvlLbl val="0"/>
      </c:catAx>
      <c:valAx>
        <c:axId val="92810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 points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109664"/>
        <c:crosses val="autoZero"/>
        <c:crossBetween val="between"/>
      </c:valAx>
      <c:valAx>
        <c:axId val="928098144"/>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Index (2014-16=100)</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8098504"/>
        <c:crosses val="max"/>
        <c:crossBetween val="between"/>
      </c:valAx>
      <c:catAx>
        <c:axId val="928098504"/>
        <c:scaling>
          <c:orientation val="minMax"/>
        </c:scaling>
        <c:delete val="1"/>
        <c:axPos val="b"/>
        <c:majorTickMark val="out"/>
        <c:minorTickMark val="none"/>
        <c:tickLblPos val="nextTo"/>
        <c:crossAx val="9280981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Sheet1!$C$100</c:f>
              <c:strCache>
                <c:ptCount val="1"/>
                <c:pt idx="0">
                  <c:v>High Income</c:v>
                </c:pt>
              </c:strCache>
            </c:strRef>
          </c:tx>
          <c:spPr>
            <a:ln w="28575" cap="sq">
              <a:solidFill>
                <a:schemeClr val="accent1"/>
              </a:solidFill>
              <a:round/>
            </a:ln>
            <a:effectLst/>
          </c:spPr>
          <c:marker>
            <c:symbol val="diamond"/>
            <c:size val="5"/>
            <c:spPr>
              <a:solidFill>
                <a:schemeClr val="accent1"/>
              </a:solidFill>
              <a:ln w="9525">
                <a:solidFill>
                  <a:schemeClr val="accent1"/>
                </a:solidFill>
              </a:ln>
              <a:effectLst/>
            </c:spPr>
          </c:marker>
          <c:cat>
            <c:numRef>
              <c:f>Sheet1!$B$101:$B$119</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Sheet1!$C$101:$C$119</c:f>
              <c:numCache>
                <c:formatCode>0.0</c:formatCode>
                <c:ptCount val="19"/>
                <c:pt idx="0">
                  <c:v>17.791699999999999</c:v>
                </c:pt>
                <c:pt idx="1">
                  <c:v>15.3506</c:v>
                </c:pt>
                <c:pt idx="2">
                  <c:v>11.339399999999999</c:v>
                </c:pt>
                <c:pt idx="3">
                  <c:v>9.1769999999999996</c:v>
                </c:pt>
                <c:pt idx="4">
                  <c:v>11.4579</c:v>
                </c:pt>
                <c:pt idx="5">
                  <c:v>9.3299000000000003</c:v>
                </c:pt>
                <c:pt idx="6">
                  <c:v>7.2934000000000001</c:v>
                </c:pt>
                <c:pt idx="7">
                  <c:v>9.0783000000000005</c:v>
                </c:pt>
                <c:pt idx="8">
                  <c:v>8.4108999999999998</c:v>
                </c:pt>
                <c:pt idx="9">
                  <c:v>7.0620000000000003</c:v>
                </c:pt>
                <c:pt idx="10">
                  <c:v>7.8842999999999996</c:v>
                </c:pt>
                <c:pt idx="11">
                  <c:v>8.6221999999999994</c:v>
                </c:pt>
                <c:pt idx="12">
                  <c:v>7.8800999999999997</c:v>
                </c:pt>
                <c:pt idx="13">
                  <c:v>8.1519999999999992</c:v>
                </c:pt>
                <c:pt idx="14">
                  <c:v>7.7380000000000004</c:v>
                </c:pt>
                <c:pt idx="15">
                  <c:v>7.2759</c:v>
                </c:pt>
                <c:pt idx="16">
                  <c:v>5.4574999999999996</c:v>
                </c:pt>
                <c:pt idx="17">
                  <c:v>3.4089999999999998</c:v>
                </c:pt>
                <c:pt idx="18">
                  <c:v>5.0713999999999997</c:v>
                </c:pt>
              </c:numCache>
            </c:numRef>
          </c:val>
          <c:smooth val="0"/>
          <c:extLst>
            <c:ext xmlns:c16="http://schemas.microsoft.com/office/drawing/2014/chart" uri="{C3380CC4-5D6E-409C-BE32-E72D297353CC}">
              <c16:uniqueId val="{00000000-B1A1-4344-B849-15E1BD1460AB}"/>
            </c:ext>
          </c:extLst>
        </c:ser>
        <c:ser>
          <c:idx val="1"/>
          <c:order val="1"/>
          <c:tx>
            <c:strRef>
              <c:f>Sheet1!$D$100</c:f>
              <c:strCache>
                <c:ptCount val="1"/>
                <c:pt idx="0">
                  <c:v>Low Income</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Sheet1!$B$101:$B$119</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Sheet1!$D$101:$D$119</c:f>
              <c:numCache>
                <c:formatCode>0.0</c:formatCode>
                <c:ptCount val="19"/>
                <c:pt idx="0">
                  <c:v>-29.982600000000001</c:v>
                </c:pt>
                <c:pt idx="1">
                  <c:v>-31.1052</c:v>
                </c:pt>
                <c:pt idx="2">
                  <c:v>-20.347300000000001</c:v>
                </c:pt>
                <c:pt idx="3">
                  <c:v>-5.1178999999999997</c:v>
                </c:pt>
                <c:pt idx="4">
                  <c:v>-10.1479</c:v>
                </c:pt>
                <c:pt idx="5">
                  <c:v>-22.893899999999999</c:v>
                </c:pt>
                <c:pt idx="6">
                  <c:v>-19.6875</c:v>
                </c:pt>
                <c:pt idx="7">
                  <c:v>-5.9635999999999996</c:v>
                </c:pt>
                <c:pt idx="8">
                  <c:v>-12.1195</c:v>
                </c:pt>
                <c:pt idx="9">
                  <c:v>-18.978100000000001</c:v>
                </c:pt>
                <c:pt idx="10">
                  <c:v>-23.062799999999999</c:v>
                </c:pt>
                <c:pt idx="11">
                  <c:v>-23.4315</c:v>
                </c:pt>
                <c:pt idx="12">
                  <c:v>-18.520299999999999</c:v>
                </c:pt>
                <c:pt idx="13">
                  <c:v>-18.5349</c:v>
                </c:pt>
                <c:pt idx="14">
                  <c:v>-12.453900000000001</c:v>
                </c:pt>
                <c:pt idx="15">
                  <c:v>-7.1565000000000003</c:v>
                </c:pt>
                <c:pt idx="16">
                  <c:v>-6.0711000000000004</c:v>
                </c:pt>
                <c:pt idx="17">
                  <c:v>8.2184000000000008</c:v>
                </c:pt>
                <c:pt idx="18">
                  <c:v>-2.8128000000000002</c:v>
                </c:pt>
              </c:numCache>
            </c:numRef>
          </c:val>
          <c:smooth val="0"/>
          <c:extLst>
            <c:ext xmlns:c16="http://schemas.microsoft.com/office/drawing/2014/chart" uri="{C3380CC4-5D6E-409C-BE32-E72D297353CC}">
              <c16:uniqueId val="{00000001-B1A1-4344-B849-15E1BD1460AB}"/>
            </c:ext>
          </c:extLst>
        </c:ser>
        <c:ser>
          <c:idx val="2"/>
          <c:order val="2"/>
          <c:tx>
            <c:strRef>
              <c:f>Sheet1!$E$100</c:f>
              <c:strCache>
                <c:ptCount val="1"/>
                <c:pt idx="0">
                  <c:v>Middle Income</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cat>
            <c:numRef>
              <c:f>Sheet1!$B$101:$B$119</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Sheet1!$E$101:$E$119</c:f>
              <c:numCache>
                <c:formatCode>0.0</c:formatCode>
                <c:ptCount val="19"/>
                <c:pt idx="0">
                  <c:v>0.44829999999999998</c:v>
                </c:pt>
                <c:pt idx="1">
                  <c:v>2.1288999999999998</c:v>
                </c:pt>
                <c:pt idx="2">
                  <c:v>-0.86140000000000005</c:v>
                </c:pt>
                <c:pt idx="3">
                  <c:v>-5.3705999999999996</c:v>
                </c:pt>
                <c:pt idx="4">
                  <c:v>2.5205000000000002</c:v>
                </c:pt>
                <c:pt idx="5">
                  <c:v>4.1676000000000002</c:v>
                </c:pt>
                <c:pt idx="6">
                  <c:v>-0.2127</c:v>
                </c:pt>
                <c:pt idx="7">
                  <c:v>4.7675999999999998</c:v>
                </c:pt>
                <c:pt idx="8">
                  <c:v>4.1148999999999996</c:v>
                </c:pt>
                <c:pt idx="9">
                  <c:v>5.9527999999999999</c:v>
                </c:pt>
                <c:pt idx="10">
                  <c:v>8.6265000000000001</c:v>
                </c:pt>
                <c:pt idx="11">
                  <c:v>7.7122000000000002</c:v>
                </c:pt>
                <c:pt idx="12">
                  <c:v>7.3586</c:v>
                </c:pt>
                <c:pt idx="13">
                  <c:v>4.6981999999999999</c:v>
                </c:pt>
                <c:pt idx="14">
                  <c:v>4.7735000000000003</c:v>
                </c:pt>
                <c:pt idx="15">
                  <c:v>5.7446000000000002</c:v>
                </c:pt>
                <c:pt idx="16">
                  <c:v>4.8697999999999997</c:v>
                </c:pt>
                <c:pt idx="17">
                  <c:v>2.9683000000000002</c:v>
                </c:pt>
                <c:pt idx="18">
                  <c:v>3.1941999999999999</c:v>
                </c:pt>
              </c:numCache>
            </c:numRef>
          </c:val>
          <c:smooth val="0"/>
          <c:extLst>
            <c:ext xmlns:c16="http://schemas.microsoft.com/office/drawing/2014/chart" uri="{C3380CC4-5D6E-409C-BE32-E72D297353CC}">
              <c16:uniqueId val="{00000002-B1A1-4344-B849-15E1BD1460AB}"/>
            </c:ext>
          </c:extLst>
        </c:ser>
        <c:dLbls>
          <c:showLegendKey val="0"/>
          <c:showVal val="0"/>
          <c:showCatName val="0"/>
          <c:showSerName val="0"/>
          <c:showPercent val="0"/>
          <c:showBubbleSize val="0"/>
        </c:dLbls>
        <c:marker val="1"/>
        <c:smooth val="0"/>
        <c:axId val="683137880"/>
        <c:axId val="683132840"/>
      </c:lineChart>
      <c:catAx>
        <c:axId val="68313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132840"/>
        <c:crosses val="autoZero"/>
        <c:auto val="1"/>
        <c:lblAlgn val="ctr"/>
        <c:lblOffset val="100"/>
        <c:noMultiLvlLbl val="0"/>
      </c:catAx>
      <c:valAx>
        <c:axId val="683132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 points</a:t>
                </a:r>
              </a:p>
            </c:rich>
          </c:tx>
          <c:layout>
            <c:manualLayout>
              <c:xMode val="edge"/>
              <c:yMode val="edge"/>
              <c:x val="1.4162873039959535E-2"/>
              <c:y val="0.4027372623840270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13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[Support_Database_2025_version3.xlsx]GlobalPerspective!PivotTable3</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Global NRA by component</a:t>
            </a:r>
          </a:p>
        </c:rich>
      </c:tx>
      <c:layout>
        <c:manualLayout>
          <c:xMode val="edge"/>
          <c:yMode val="edge"/>
          <c:x val="0.31862887094508258"/>
          <c:y val="2.3586940167510909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lumMod val="75000"/>
            </a:schemeClr>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5">
              <a:lumMod val="75000"/>
            </a:schemeClr>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C000"/>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5">
              <a:lumMod val="75000"/>
            </a:schemeClr>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C000"/>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729383391646988"/>
          <c:y val="0.11539645920056171"/>
          <c:w val="0.83527669438516461"/>
          <c:h val="0.75487185917046995"/>
        </c:manualLayout>
      </c:layout>
      <c:areaChart>
        <c:grouping val="stacked"/>
        <c:varyColors val="0"/>
        <c:ser>
          <c:idx val="0"/>
          <c:order val="0"/>
          <c:tx>
            <c:strRef>
              <c:f>GlobalPerspective!$E$7:$E$8</c:f>
              <c:strCache>
                <c:ptCount val="1"/>
                <c:pt idx="0">
                  <c:v>Others</c:v>
                </c:pt>
              </c:strCache>
            </c:strRef>
          </c:tx>
          <c:spPr>
            <a:solidFill>
              <a:schemeClr val="accent5">
                <a:lumMod val="75000"/>
              </a:schemeClr>
            </a:solidFill>
            <a:ln w="25400">
              <a:noFill/>
            </a:ln>
            <a:effectLst/>
          </c:spPr>
          <c:cat>
            <c:strRef>
              <c:f>GlobalPerspective!$D$9:$D$27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GlobalPerspective!$E$9:$E$27</c:f>
              <c:numCache>
                <c:formatCode>General</c:formatCode>
                <c:ptCount val="19"/>
                <c:pt idx="0">
                  <c:v>5.3381694162702498E-2</c:v>
                </c:pt>
                <c:pt idx="1">
                  <c:v>5.5318540800887599E-2</c:v>
                </c:pt>
                <c:pt idx="2">
                  <c:v>4.92925350562953E-2</c:v>
                </c:pt>
                <c:pt idx="3">
                  <c:v>4.8700535815723402E-2</c:v>
                </c:pt>
                <c:pt idx="4">
                  <c:v>5.1894066525911997E-2</c:v>
                </c:pt>
                <c:pt idx="5">
                  <c:v>4.3370965209712703E-2</c:v>
                </c:pt>
                <c:pt idx="6">
                  <c:v>4.1535937499204499E-2</c:v>
                </c:pt>
                <c:pt idx="7">
                  <c:v>4.0068664434997403E-2</c:v>
                </c:pt>
                <c:pt idx="8">
                  <c:v>3.8729067365494703E-2</c:v>
                </c:pt>
                <c:pt idx="9">
                  <c:v>3.8057364803352402E-2</c:v>
                </c:pt>
                <c:pt idx="10">
                  <c:v>3.7083540656600397E-2</c:v>
                </c:pt>
                <c:pt idx="11">
                  <c:v>3.85129369747087E-2</c:v>
                </c:pt>
                <c:pt idx="12">
                  <c:v>3.8528877030329402E-2</c:v>
                </c:pt>
                <c:pt idx="13">
                  <c:v>4.04757033330998E-2</c:v>
                </c:pt>
                <c:pt idx="14">
                  <c:v>4.4458632675597097E-2</c:v>
                </c:pt>
                <c:pt idx="15">
                  <c:v>4.3216249477906803E-2</c:v>
                </c:pt>
                <c:pt idx="16">
                  <c:v>4.2600609058347297E-2</c:v>
                </c:pt>
                <c:pt idx="17">
                  <c:v>3.4840098962769399E-2</c:v>
                </c:pt>
                <c:pt idx="18">
                  <c:v>3.5344849847421499E-2</c:v>
                </c:pt>
              </c:numCache>
            </c:numRef>
          </c:val>
          <c:extLst>
            <c:ext xmlns:c16="http://schemas.microsoft.com/office/drawing/2014/chart" uri="{C3380CC4-5D6E-409C-BE32-E72D297353CC}">
              <c16:uniqueId val="{00000000-2102-447D-992B-01E3117B78AD}"/>
            </c:ext>
          </c:extLst>
        </c:ser>
        <c:ser>
          <c:idx val="1"/>
          <c:order val="1"/>
          <c:tx>
            <c:strRef>
              <c:f>GlobalPerspective!$F$7:$F$8</c:f>
              <c:strCache>
                <c:ptCount val="1"/>
                <c:pt idx="0">
                  <c:v>Inputs</c:v>
                </c:pt>
              </c:strCache>
            </c:strRef>
          </c:tx>
          <c:spPr>
            <a:solidFill>
              <a:schemeClr val="accent2"/>
            </a:solidFill>
            <a:ln w="25400">
              <a:noFill/>
            </a:ln>
            <a:effectLst/>
          </c:spPr>
          <c:cat>
            <c:strRef>
              <c:f>GlobalPerspective!$D$9:$D$27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GlobalPerspective!$F$9:$F$27</c:f>
              <c:numCache>
                <c:formatCode>General</c:formatCode>
                <c:ptCount val="19"/>
                <c:pt idx="0">
                  <c:v>3.4557096136434498E-2</c:v>
                </c:pt>
                <c:pt idx="1">
                  <c:v>3.5860602116001998E-2</c:v>
                </c:pt>
                <c:pt idx="2">
                  <c:v>3.4327878377055497E-2</c:v>
                </c:pt>
                <c:pt idx="3">
                  <c:v>3.4025557903821203E-2</c:v>
                </c:pt>
                <c:pt idx="4">
                  <c:v>3.5325397080863803E-2</c:v>
                </c:pt>
                <c:pt idx="5">
                  <c:v>2.9986687884742201E-2</c:v>
                </c:pt>
                <c:pt idx="6">
                  <c:v>2.76543766051024E-2</c:v>
                </c:pt>
                <c:pt idx="7">
                  <c:v>2.82350733524767E-2</c:v>
                </c:pt>
                <c:pt idx="8">
                  <c:v>2.63309096102405E-2</c:v>
                </c:pt>
                <c:pt idx="9">
                  <c:v>2.6017944020528299E-2</c:v>
                </c:pt>
                <c:pt idx="10">
                  <c:v>2.7981922340237501E-2</c:v>
                </c:pt>
                <c:pt idx="11">
                  <c:v>2.6628599598682301E-2</c:v>
                </c:pt>
                <c:pt idx="12">
                  <c:v>2.7366908906969301E-2</c:v>
                </c:pt>
                <c:pt idx="13">
                  <c:v>2.70683188674757E-2</c:v>
                </c:pt>
                <c:pt idx="14">
                  <c:v>2.59297519854657E-2</c:v>
                </c:pt>
                <c:pt idx="15">
                  <c:v>2.70062301095957E-2</c:v>
                </c:pt>
                <c:pt idx="16">
                  <c:v>2.5444990870389799E-2</c:v>
                </c:pt>
                <c:pt idx="17">
                  <c:v>2.5313150765925298E-2</c:v>
                </c:pt>
                <c:pt idx="18">
                  <c:v>2.5129663389527601E-2</c:v>
                </c:pt>
              </c:numCache>
            </c:numRef>
          </c:val>
          <c:extLst>
            <c:ext xmlns:c16="http://schemas.microsoft.com/office/drawing/2014/chart" uri="{C3380CC4-5D6E-409C-BE32-E72D297353CC}">
              <c16:uniqueId val="{00000001-2102-447D-992B-01E3117B78AD}"/>
            </c:ext>
          </c:extLst>
        </c:ser>
        <c:ser>
          <c:idx val="2"/>
          <c:order val="2"/>
          <c:tx>
            <c:strRef>
              <c:f>GlobalPerspective!$G$7:$G$8</c:f>
              <c:strCache>
                <c:ptCount val="1"/>
                <c:pt idx="0">
                  <c:v>Outputs</c:v>
                </c:pt>
              </c:strCache>
            </c:strRef>
          </c:tx>
          <c:spPr>
            <a:solidFill>
              <a:schemeClr val="accent3"/>
            </a:solidFill>
            <a:ln w="25400">
              <a:noFill/>
            </a:ln>
            <a:effectLst/>
          </c:spPr>
          <c:cat>
            <c:strRef>
              <c:f>GlobalPerspective!$D$9:$D$27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GlobalPerspective!$G$9:$G$27</c:f>
              <c:numCache>
                <c:formatCode>General</c:formatCode>
                <c:ptCount val="19"/>
                <c:pt idx="0">
                  <c:v>1.04687513443974E-2</c:v>
                </c:pt>
                <c:pt idx="1">
                  <c:v>5.1899876972787296E-3</c:v>
                </c:pt>
                <c:pt idx="2">
                  <c:v>3.12882921586293E-3</c:v>
                </c:pt>
                <c:pt idx="3">
                  <c:v>3.01031857060175E-3</c:v>
                </c:pt>
                <c:pt idx="4">
                  <c:v>2.79393868677342E-3</c:v>
                </c:pt>
                <c:pt idx="5">
                  <c:v>2.17143501233293E-3</c:v>
                </c:pt>
                <c:pt idx="6">
                  <c:v>2.0504012314143602E-3</c:v>
                </c:pt>
                <c:pt idx="7">
                  <c:v>2.1761899558695101E-3</c:v>
                </c:pt>
                <c:pt idx="8">
                  <c:v>2.2197223455614401E-3</c:v>
                </c:pt>
                <c:pt idx="9">
                  <c:v>1.91461521159036E-3</c:v>
                </c:pt>
                <c:pt idx="10">
                  <c:v>2.79720670104252E-3</c:v>
                </c:pt>
                <c:pt idx="11">
                  <c:v>2.7166668275364599E-3</c:v>
                </c:pt>
                <c:pt idx="12">
                  <c:v>2.6349142552212299E-3</c:v>
                </c:pt>
                <c:pt idx="13">
                  <c:v>4.8511007994519002E-3</c:v>
                </c:pt>
                <c:pt idx="14">
                  <c:v>2.1738055337074298E-3</c:v>
                </c:pt>
                <c:pt idx="15">
                  <c:v>4.2137874820227898E-3</c:v>
                </c:pt>
                <c:pt idx="16">
                  <c:v>2.1878626532407502E-3</c:v>
                </c:pt>
                <c:pt idx="17">
                  <c:v>1.64404624782448E-3</c:v>
                </c:pt>
                <c:pt idx="18">
                  <c:v>1.46151828186056E-3</c:v>
                </c:pt>
              </c:numCache>
            </c:numRef>
          </c:val>
          <c:extLst>
            <c:ext xmlns:c16="http://schemas.microsoft.com/office/drawing/2014/chart" uri="{C3380CC4-5D6E-409C-BE32-E72D297353CC}">
              <c16:uniqueId val="{00000002-2102-447D-992B-01E3117B78AD}"/>
            </c:ext>
          </c:extLst>
        </c:ser>
        <c:ser>
          <c:idx val="3"/>
          <c:order val="3"/>
          <c:tx>
            <c:strRef>
              <c:f>GlobalPerspective!$H$7:$H$8</c:f>
              <c:strCache>
                <c:ptCount val="1"/>
                <c:pt idx="0">
                  <c:v>NRP</c:v>
                </c:pt>
              </c:strCache>
            </c:strRef>
          </c:tx>
          <c:spPr>
            <a:solidFill>
              <a:srgbClr val="FFC000"/>
            </a:solidFill>
            <a:ln w="25400">
              <a:noFill/>
            </a:ln>
            <a:effectLst/>
          </c:spPr>
          <c:cat>
            <c:strRef>
              <c:f>GlobalPerspective!$D$9:$D$27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GlobalPerspective!$H$9:$H$27</c:f>
              <c:numCache>
                <c:formatCode>General</c:formatCode>
                <c:ptCount val="19"/>
                <c:pt idx="0">
                  <c:v>7.5316982366006896E-2</c:v>
                </c:pt>
                <c:pt idx="1">
                  <c:v>6.1974085230813998E-2</c:v>
                </c:pt>
                <c:pt idx="2">
                  <c:v>3.0552364380124701E-2</c:v>
                </c:pt>
                <c:pt idx="3">
                  <c:v>-2.1261793365784602E-3</c:v>
                </c:pt>
                <c:pt idx="4">
                  <c:v>4.8037303266692498E-2</c:v>
                </c:pt>
                <c:pt idx="5">
                  <c:v>4.7408947164695098E-2</c:v>
                </c:pt>
                <c:pt idx="6">
                  <c:v>1.58717647023481E-2</c:v>
                </c:pt>
                <c:pt idx="7">
                  <c:v>5.3656909752888698E-2</c:v>
                </c:pt>
                <c:pt idx="8">
                  <c:v>3.97371624006084E-2</c:v>
                </c:pt>
                <c:pt idx="9">
                  <c:v>4.74600807417946E-2</c:v>
                </c:pt>
                <c:pt idx="10">
                  <c:v>6.0091372053907598E-2</c:v>
                </c:pt>
                <c:pt idx="11">
                  <c:v>6.6928585063165E-2</c:v>
                </c:pt>
                <c:pt idx="12">
                  <c:v>6.6873323676499993E-2</c:v>
                </c:pt>
                <c:pt idx="13">
                  <c:v>5.0765157925439897E-2</c:v>
                </c:pt>
                <c:pt idx="14">
                  <c:v>4.7769714304740599E-2</c:v>
                </c:pt>
                <c:pt idx="15">
                  <c:v>5.8562236493702603E-2</c:v>
                </c:pt>
                <c:pt idx="16">
                  <c:v>4.6808666330655099E-2</c:v>
                </c:pt>
                <c:pt idx="17">
                  <c:v>3.3476003537257E-2</c:v>
                </c:pt>
                <c:pt idx="18">
                  <c:v>3.8847790720326202E-2</c:v>
                </c:pt>
              </c:numCache>
            </c:numRef>
          </c:val>
          <c:extLst>
            <c:ext xmlns:c16="http://schemas.microsoft.com/office/drawing/2014/chart" uri="{C3380CC4-5D6E-409C-BE32-E72D297353CC}">
              <c16:uniqueId val="{00000003-2102-447D-992B-01E3117B78AD}"/>
            </c:ext>
          </c:extLst>
        </c:ser>
        <c:dLbls>
          <c:showLegendKey val="0"/>
          <c:showVal val="0"/>
          <c:showCatName val="0"/>
          <c:showSerName val="0"/>
          <c:showPercent val="0"/>
          <c:showBubbleSize val="0"/>
        </c:dLbls>
        <c:axId val="805087728"/>
        <c:axId val="805089040"/>
      </c:areaChart>
      <c:catAx>
        <c:axId val="80508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5089040"/>
        <c:crosses val="autoZero"/>
        <c:auto val="1"/>
        <c:lblAlgn val="ctr"/>
        <c:lblOffset val="100"/>
        <c:noMultiLvlLbl val="0"/>
      </c:catAx>
      <c:valAx>
        <c:axId val="805089040"/>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NRA</a:t>
                </a:r>
                <a:r>
                  <a:rPr lang="en-US" b="1" baseline="0"/>
                  <a:t> </a:t>
                </a:r>
                <a:endParaRPr lang="en-US" b="1"/>
              </a:p>
            </c:rich>
          </c:tx>
          <c:layout>
            <c:manualLayout>
              <c:xMode val="edge"/>
              <c:yMode val="edge"/>
              <c:x val="4.248088360237893E-3"/>
              <c:y val="0.4514148497395272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120000" spcFirstLastPara="1" vertOverflow="ellipsis" wrap="square" anchor="t" anchorCtr="0"/>
          <a:lstStyle/>
          <a:p>
            <a:pPr>
              <a:defRPr sz="900" b="0" i="0" u="none" strike="noStrike" kern="1200" baseline="0">
                <a:solidFill>
                  <a:schemeClr val="tx1">
                    <a:lumMod val="65000"/>
                    <a:lumOff val="35000"/>
                    <a:alpha val="98000"/>
                  </a:schemeClr>
                </a:solidFill>
                <a:effectLst>
                  <a:outerShdw blurRad="50800" dist="50800" dir="5400000" sx="2000" sy="2000" algn="ctr" rotWithShape="0">
                    <a:srgbClr val="000000">
                      <a:alpha val="43137"/>
                    </a:srgbClr>
                  </a:outerShdw>
                </a:effectLst>
                <a:latin typeface="+mn-lt"/>
                <a:ea typeface="+mn-ea"/>
                <a:cs typeface="+mn-cs"/>
              </a:defRPr>
            </a:pPr>
            <a:endParaRPr lang="en-US"/>
          </a:p>
        </c:txPr>
        <c:crossAx val="805087728"/>
        <c:crosses val="autoZero"/>
        <c:crossBetween val="midCat"/>
        <c:majorUnit val="5.000000000000001E-2"/>
      </c:valAx>
      <c:spPr>
        <a:noFill/>
        <a:ln>
          <a:noFill/>
        </a:ln>
        <a:effectLst/>
      </c:spPr>
    </c:plotArea>
    <c:legend>
      <c:legendPos val="b"/>
      <c:layout>
        <c:manualLayout>
          <c:xMode val="edge"/>
          <c:yMode val="edge"/>
          <c:x val="0.32697786980110921"/>
          <c:y val="0.94300871965472399"/>
          <c:w val="0.33754791642973259"/>
          <c:h val="5.569345910969050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[Support_Database_2025_version3.xlsx]RegionalPerspective!PivotTable7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 Income Countries</a:t>
            </a:r>
            <a:r>
              <a:rPr lang="en-US" baseline="0"/>
              <a:t> - All Products</a:t>
            </a:r>
            <a:endParaRPr lang="en-US"/>
          </a:p>
        </c:rich>
      </c:tx>
      <c:layout>
        <c:manualLayout>
          <c:xMode val="edge"/>
          <c:yMode val="edge"/>
          <c:x val="0.23526557192279393"/>
          <c:y val="3.285164904654615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5262525530768449E-2"/>
          <c:y val="0.12477855794498026"/>
          <c:w val="0.87429960916913207"/>
          <c:h val="0.67597371268508133"/>
        </c:manualLayout>
      </c:layout>
      <c:areaChart>
        <c:grouping val="stacked"/>
        <c:varyColors val="0"/>
        <c:ser>
          <c:idx val="0"/>
          <c:order val="0"/>
          <c:tx>
            <c:strRef>
              <c:f>RegionalPerspective!$B$7:$B$8</c:f>
              <c:strCache>
                <c:ptCount val="1"/>
                <c:pt idx="0">
                  <c:v>Others</c:v>
                </c:pt>
              </c:strCache>
            </c:strRef>
          </c:tx>
          <c:spPr>
            <a:solidFill>
              <a:schemeClr val="accent1"/>
            </a:solidFill>
            <a:ln>
              <a:noFill/>
            </a:ln>
            <a:effectLst/>
          </c:spPr>
          <c:cat>
            <c:strRef>
              <c:f>RegionalPerspective!$A$9:$A$27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RegionalPerspective!$B$9:$B$27</c:f>
              <c:numCache>
                <c:formatCode>General</c:formatCode>
                <c:ptCount val="19"/>
                <c:pt idx="0">
                  <c:v>0.11693590602159799</c:v>
                </c:pt>
                <c:pt idx="1">
                  <c:v>0.12175619672341</c:v>
                </c:pt>
                <c:pt idx="2">
                  <c:v>0.10505145760250199</c:v>
                </c:pt>
                <c:pt idx="3">
                  <c:v>0.105534489394583</c:v>
                </c:pt>
                <c:pt idx="4">
                  <c:v>0.116938275793083</c:v>
                </c:pt>
                <c:pt idx="5">
                  <c:v>0.101843090169823</c:v>
                </c:pt>
                <c:pt idx="6">
                  <c:v>9.8076080718648095E-2</c:v>
                </c:pt>
                <c:pt idx="7">
                  <c:v>9.1428678785337197E-2</c:v>
                </c:pt>
                <c:pt idx="8">
                  <c:v>8.9548355533233995E-2</c:v>
                </c:pt>
                <c:pt idx="9">
                  <c:v>8.7402647857021495E-2</c:v>
                </c:pt>
                <c:pt idx="10">
                  <c:v>9.0145447232862705E-2</c:v>
                </c:pt>
                <c:pt idx="11">
                  <c:v>9.3407023863302199E-2</c:v>
                </c:pt>
                <c:pt idx="12">
                  <c:v>8.7458026393464602E-2</c:v>
                </c:pt>
                <c:pt idx="13">
                  <c:v>9.3265550417196696E-2</c:v>
                </c:pt>
                <c:pt idx="14">
                  <c:v>0.101393866193254</c:v>
                </c:pt>
                <c:pt idx="15">
                  <c:v>9.4148684389617099E-2</c:v>
                </c:pt>
                <c:pt idx="16">
                  <c:v>9.5570522461139396E-2</c:v>
                </c:pt>
                <c:pt idx="17">
                  <c:v>7.2246172408973797E-2</c:v>
                </c:pt>
                <c:pt idx="18">
                  <c:v>7.3452404625136303E-2</c:v>
                </c:pt>
              </c:numCache>
            </c:numRef>
          </c:val>
          <c:extLst>
            <c:ext xmlns:c16="http://schemas.microsoft.com/office/drawing/2014/chart" uri="{C3380CC4-5D6E-409C-BE32-E72D297353CC}">
              <c16:uniqueId val="{00000000-9C73-42BC-98AF-AE62648018E2}"/>
            </c:ext>
          </c:extLst>
        </c:ser>
        <c:ser>
          <c:idx val="1"/>
          <c:order val="1"/>
          <c:tx>
            <c:strRef>
              <c:f>RegionalPerspective!$C$7:$C$8</c:f>
              <c:strCache>
                <c:ptCount val="1"/>
                <c:pt idx="0">
                  <c:v>Inputs</c:v>
                </c:pt>
              </c:strCache>
            </c:strRef>
          </c:tx>
          <c:spPr>
            <a:solidFill>
              <a:schemeClr val="accent2"/>
            </a:solidFill>
            <a:ln>
              <a:noFill/>
            </a:ln>
            <a:effectLst/>
          </c:spPr>
          <c:cat>
            <c:strRef>
              <c:f>RegionalPerspective!$A$9:$A$27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RegionalPerspective!$C$9:$C$27</c:f>
              <c:numCache>
                <c:formatCode>General</c:formatCode>
                <c:ptCount val="19"/>
                <c:pt idx="0">
                  <c:v>3.8680973283305199E-2</c:v>
                </c:pt>
                <c:pt idx="1">
                  <c:v>3.8676454188742798E-2</c:v>
                </c:pt>
                <c:pt idx="2">
                  <c:v>3.1852203745482498E-2</c:v>
                </c:pt>
                <c:pt idx="3">
                  <c:v>3.1345445576515502E-2</c:v>
                </c:pt>
                <c:pt idx="4">
                  <c:v>3.5158811156793097E-2</c:v>
                </c:pt>
                <c:pt idx="5">
                  <c:v>3.14008591603342E-2</c:v>
                </c:pt>
                <c:pt idx="6">
                  <c:v>2.89032729809603E-2</c:v>
                </c:pt>
                <c:pt idx="7">
                  <c:v>3.2201337713098799E-2</c:v>
                </c:pt>
                <c:pt idx="8">
                  <c:v>2.88230146588901E-2</c:v>
                </c:pt>
                <c:pt idx="9">
                  <c:v>2.5476935938594299E-2</c:v>
                </c:pt>
                <c:pt idx="10">
                  <c:v>2.7278484265707802E-2</c:v>
                </c:pt>
                <c:pt idx="11">
                  <c:v>2.5554238570425301E-2</c:v>
                </c:pt>
                <c:pt idx="12">
                  <c:v>2.5065215000938699E-2</c:v>
                </c:pt>
                <c:pt idx="13">
                  <c:v>2.7592364120912399E-2</c:v>
                </c:pt>
                <c:pt idx="14">
                  <c:v>2.7587806543556501E-2</c:v>
                </c:pt>
                <c:pt idx="15">
                  <c:v>2.7341468568610298E-2</c:v>
                </c:pt>
                <c:pt idx="16">
                  <c:v>2.4351602800760298E-2</c:v>
                </c:pt>
                <c:pt idx="17">
                  <c:v>2.5067567691890499E-2</c:v>
                </c:pt>
                <c:pt idx="18">
                  <c:v>2.77030140302684E-2</c:v>
                </c:pt>
              </c:numCache>
            </c:numRef>
          </c:val>
          <c:extLst>
            <c:ext xmlns:c16="http://schemas.microsoft.com/office/drawing/2014/chart" uri="{C3380CC4-5D6E-409C-BE32-E72D297353CC}">
              <c16:uniqueId val="{00000001-9C73-42BC-98AF-AE62648018E2}"/>
            </c:ext>
          </c:extLst>
        </c:ser>
        <c:ser>
          <c:idx val="2"/>
          <c:order val="2"/>
          <c:tx>
            <c:strRef>
              <c:f>RegionalPerspective!$D$7:$D$8</c:f>
              <c:strCache>
                <c:ptCount val="1"/>
                <c:pt idx="0">
                  <c:v>Outputs</c:v>
                </c:pt>
              </c:strCache>
            </c:strRef>
          </c:tx>
          <c:spPr>
            <a:solidFill>
              <a:schemeClr val="accent3"/>
            </a:solidFill>
            <a:ln>
              <a:noFill/>
            </a:ln>
            <a:effectLst/>
          </c:spPr>
          <c:cat>
            <c:strRef>
              <c:f>RegionalPerspective!$A$9:$A$27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RegionalPerspective!$D$9:$D$27</c:f>
              <c:numCache>
                <c:formatCode>General</c:formatCode>
                <c:ptCount val="19"/>
                <c:pt idx="0">
                  <c:v>2.30026504801423E-2</c:v>
                </c:pt>
                <c:pt idx="1">
                  <c:v>9.2545377404263402E-3</c:v>
                </c:pt>
                <c:pt idx="2">
                  <c:v>4.2331725661965301E-3</c:v>
                </c:pt>
                <c:pt idx="3">
                  <c:v>5.0108033269523396E-3</c:v>
                </c:pt>
                <c:pt idx="4">
                  <c:v>5.5383973639131397E-3</c:v>
                </c:pt>
                <c:pt idx="5">
                  <c:v>3.9796334187464002E-3</c:v>
                </c:pt>
                <c:pt idx="6">
                  <c:v>4.0977632869554697E-3</c:v>
                </c:pt>
                <c:pt idx="7">
                  <c:v>4.4006083184228197E-3</c:v>
                </c:pt>
                <c:pt idx="8">
                  <c:v>4.2356513079583602E-3</c:v>
                </c:pt>
                <c:pt idx="9">
                  <c:v>3.6270764779898399E-3</c:v>
                </c:pt>
                <c:pt idx="10">
                  <c:v>3.1920157612140201E-3</c:v>
                </c:pt>
                <c:pt idx="11">
                  <c:v>3.27759348548003E-3</c:v>
                </c:pt>
                <c:pt idx="12">
                  <c:v>2.8388816068129498E-3</c:v>
                </c:pt>
                <c:pt idx="13">
                  <c:v>1.05256576808522E-2</c:v>
                </c:pt>
                <c:pt idx="14">
                  <c:v>3.01137748694071E-3</c:v>
                </c:pt>
                <c:pt idx="15">
                  <c:v>9.2698577165101805E-3</c:v>
                </c:pt>
                <c:pt idx="16">
                  <c:v>3.4090011678128002E-3</c:v>
                </c:pt>
                <c:pt idx="17">
                  <c:v>1.96624799000902E-3</c:v>
                </c:pt>
                <c:pt idx="18">
                  <c:v>1.9337848998607101E-3</c:v>
                </c:pt>
              </c:numCache>
            </c:numRef>
          </c:val>
          <c:extLst>
            <c:ext xmlns:c16="http://schemas.microsoft.com/office/drawing/2014/chart" uri="{C3380CC4-5D6E-409C-BE32-E72D297353CC}">
              <c16:uniqueId val="{00000002-9C73-42BC-98AF-AE62648018E2}"/>
            </c:ext>
          </c:extLst>
        </c:ser>
        <c:ser>
          <c:idx val="3"/>
          <c:order val="3"/>
          <c:tx>
            <c:strRef>
              <c:f>RegionalPerspective!$E$7:$E$8</c:f>
              <c:strCache>
                <c:ptCount val="1"/>
                <c:pt idx="0">
                  <c:v>NRP</c:v>
                </c:pt>
              </c:strCache>
            </c:strRef>
          </c:tx>
          <c:spPr>
            <a:solidFill>
              <a:schemeClr val="accent4"/>
            </a:solidFill>
            <a:ln>
              <a:noFill/>
            </a:ln>
            <a:effectLst/>
          </c:spPr>
          <c:cat>
            <c:strRef>
              <c:f>RegionalPerspective!$A$9:$A$27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RegionalPerspective!$E$9:$E$27</c:f>
              <c:numCache>
                <c:formatCode>General</c:formatCode>
                <c:ptCount val="19"/>
                <c:pt idx="0">
                  <c:v>0.190060560505318</c:v>
                </c:pt>
                <c:pt idx="1">
                  <c:v>0.16609254258627301</c:v>
                </c:pt>
                <c:pt idx="2">
                  <c:v>0.12297782584420899</c:v>
                </c:pt>
                <c:pt idx="3">
                  <c:v>0.100566875648452</c:v>
                </c:pt>
                <c:pt idx="4">
                  <c:v>0.12400878645340099</c:v>
                </c:pt>
                <c:pt idx="5">
                  <c:v>0.10557925458705</c:v>
                </c:pt>
                <c:pt idx="6">
                  <c:v>8.3533276305775395E-2</c:v>
                </c:pt>
                <c:pt idx="7">
                  <c:v>0.102031504429431</c:v>
                </c:pt>
                <c:pt idx="8">
                  <c:v>9.2678488208188595E-2</c:v>
                </c:pt>
                <c:pt idx="9">
                  <c:v>7.8083228914186897E-2</c:v>
                </c:pt>
                <c:pt idx="10">
                  <c:v>8.6081426422156895E-2</c:v>
                </c:pt>
                <c:pt idx="11">
                  <c:v>9.3641356712586998E-2</c:v>
                </c:pt>
                <c:pt idx="12">
                  <c:v>8.5616422418361204E-2</c:v>
                </c:pt>
                <c:pt idx="13">
                  <c:v>8.8842906385478093E-2</c:v>
                </c:pt>
                <c:pt idx="14">
                  <c:v>8.3767625019144795E-2</c:v>
                </c:pt>
                <c:pt idx="15">
                  <c:v>7.9639106472769006E-2</c:v>
                </c:pt>
                <c:pt idx="16">
                  <c:v>6.1517295887431697E-2</c:v>
                </c:pt>
                <c:pt idx="17">
                  <c:v>3.8960160420256802E-2</c:v>
                </c:pt>
                <c:pt idx="18">
                  <c:v>5.68032434221305E-2</c:v>
                </c:pt>
              </c:numCache>
            </c:numRef>
          </c:val>
          <c:extLst>
            <c:ext xmlns:c16="http://schemas.microsoft.com/office/drawing/2014/chart" uri="{C3380CC4-5D6E-409C-BE32-E72D297353CC}">
              <c16:uniqueId val="{00000003-9C73-42BC-98AF-AE62648018E2}"/>
            </c:ext>
          </c:extLst>
        </c:ser>
        <c:dLbls>
          <c:showLegendKey val="0"/>
          <c:showVal val="0"/>
          <c:showCatName val="0"/>
          <c:showSerName val="0"/>
          <c:showPercent val="0"/>
          <c:showBubbleSize val="0"/>
        </c:dLbls>
        <c:axId val="294958488"/>
        <c:axId val="1045770960"/>
      </c:areaChart>
      <c:catAx>
        <c:axId val="294958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770960"/>
        <c:crosses val="autoZero"/>
        <c:auto val="1"/>
        <c:lblAlgn val="ctr"/>
        <c:lblOffset val="100"/>
        <c:noMultiLvlLbl val="0"/>
      </c:catAx>
      <c:valAx>
        <c:axId val="1045770960"/>
        <c:scaling>
          <c:orientation val="minMax"/>
          <c:max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NRA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95848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[Support_Database_2025_version3.xlsx]RegionalPerspective!PivotTable8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Middle Income Countries - All Products</a:t>
            </a:r>
          </a:p>
        </c:rich>
      </c:tx>
      <c:layout>
        <c:manualLayout>
          <c:xMode val="edge"/>
          <c:yMode val="edge"/>
          <c:x val="0.27698508855640241"/>
          <c:y val="2.81550755254214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1607638812216374E-2"/>
          <c:y val="0.12631992050834576"/>
          <c:w val="0.84005225379199477"/>
          <c:h val="0.75804343651105122"/>
        </c:manualLayout>
      </c:layout>
      <c:areaChart>
        <c:grouping val="stacked"/>
        <c:varyColors val="0"/>
        <c:ser>
          <c:idx val="0"/>
          <c:order val="0"/>
          <c:tx>
            <c:strRef>
              <c:f>RegionalPerspective!$I$7:$I$8</c:f>
              <c:strCache>
                <c:ptCount val="1"/>
                <c:pt idx="0">
                  <c:v>Others</c:v>
                </c:pt>
              </c:strCache>
            </c:strRef>
          </c:tx>
          <c:spPr>
            <a:solidFill>
              <a:schemeClr val="accent1"/>
            </a:solidFill>
            <a:ln>
              <a:noFill/>
            </a:ln>
            <a:effectLst/>
          </c:spPr>
          <c:cat>
            <c:strRef>
              <c:f>RegionalPerspective!$H$9:$H$27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RegionalPerspective!$I$9:$I$27</c:f>
              <c:numCache>
                <c:formatCode>General</c:formatCode>
                <c:ptCount val="19"/>
                <c:pt idx="0">
                  <c:v>1.01727406982674E-2</c:v>
                </c:pt>
                <c:pt idx="1">
                  <c:v>1.22544919520358E-2</c:v>
                </c:pt>
                <c:pt idx="2">
                  <c:v>1.28056734280836E-2</c:v>
                </c:pt>
                <c:pt idx="3">
                  <c:v>1.5299109700274699E-2</c:v>
                </c:pt>
                <c:pt idx="4">
                  <c:v>1.68893811834482E-2</c:v>
                </c:pt>
                <c:pt idx="5">
                  <c:v>1.4044491177633201E-2</c:v>
                </c:pt>
                <c:pt idx="6">
                  <c:v>1.3824431943889499E-2</c:v>
                </c:pt>
                <c:pt idx="7">
                  <c:v>1.5663437244469398E-2</c:v>
                </c:pt>
                <c:pt idx="8">
                  <c:v>1.55310781914251E-2</c:v>
                </c:pt>
                <c:pt idx="9">
                  <c:v>1.5541906837235501E-2</c:v>
                </c:pt>
                <c:pt idx="10">
                  <c:v>1.48250278795693E-2</c:v>
                </c:pt>
                <c:pt idx="11">
                  <c:v>1.5989131829129099E-2</c:v>
                </c:pt>
                <c:pt idx="12">
                  <c:v>1.7330487516484801E-2</c:v>
                </c:pt>
                <c:pt idx="13">
                  <c:v>1.79249914557271E-2</c:v>
                </c:pt>
                <c:pt idx="14">
                  <c:v>2.1083616990973102E-2</c:v>
                </c:pt>
                <c:pt idx="15">
                  <c:v>2.3353085005777399E-2</c:v>
                </c:pt>
                <c:pt idx="16">
                  <c:v>2.1192856200578699E-2</c:v>
                </c:pt>
                <c:pt idx="17">
                  <c:v>1.88482162928592E-2</c:v>
                </c:pt>
                <c:pt idx="18">
                  <c:v>1.9609263024409501E-2</c:v>
                </c:pt>
              </c:numCache>
            </c:numRef>
          </c:val>
          <c:extLst>
            <c:ext xmlns:c16="http://schemas.microsoft.com/office/drawing/2014/chart" uri="{C3380CC4-5D6E-409C-BE32-E72D297353CC}">
              <c16:uniqueId val="{00000000-FA98-4BC4-8716-AE08791359F9}"/>
            </c:ext>
          </c:extLst>
        </c:ser>
        <c:ser>
          <c:idx val="1"/>
          <c:order val="1"/>
          <c:tx>
            <c:strRef>
              <c:f>RegionalPerspective!$J$7:$J$8</c:f>
              <c:strCache>
                <c:ptCount val="1"/>
                <c:pt idx="0">
                  <c:v>Inputs</c:v>
                </c:pt>
              </c:strCache>
            </c:strRef>
          </c:tx>
          <c:spPr>
            <a:solidFill>
              <a:schemeClr val="accent2"/>
            </a:solidFill>
            <a:ln>
              <a:noFill/>
            </a:ln>
            <a:effectLst/>
          </c:spPr>
          <c:cat>
            <c:strRef>
              <c:f>RegionalPerspective!$H$9:$H$27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RegionalPerspective!$J$9:$J$27</c:f>
              <c:numCache>
                <c:formatCode>General</c:formatCode>
                <c:ptCount val="19"/>
                <c:pt idx="0">
                  <c:v>3.3001391840196299E-2</c:v>
                </c:pt>
                <c:pt idx="1">
                  <c:v>3.5461007926346703E-2</c:v>
                </c:pt>
                <c:pt idx="2">
                  <c:v>3.7032376841822097E-2</c:v>
                </c:pt>
                <c:pt idx="3">
                  <c:v>3.6383727449249101E-2</c:v>
                </c:pt>
                <c:pt idx="4">
                  <c:v>3.6565854831484799E-2</c:v>
                </c:pt>
                <c:pt idx="5">
                  <c:v>3.00394240091881E-2</c:v>
                </c:pt>
                <c:pt idx="6">
                  <c:v>2.7648514369768201E-2</c:v>
                </c:pt>
                <c:pt idx="7">
                  <c:v>2.69230867654957E-2</c:v>
                </c:pt>
                <c:pt idx="8">
                  <c:v>2.5689942973430802E-2</c:v>
                </c:pt>
                <c:pt idx="9">
                  <c:v>2.69915826546289E-2</c:v>
                </c:pt>
                <c:pt idx="10">
                  <c:v>2.9245435935119999E-2</c:v>
                </c:pt>
                <c:pt idx="11">
                  <c:v>2.8006924466230199E-2</c:v>
                </c:pt>
                <c:pt idx="12">
                  <c:v>2.94598434175776E-2</c:v>
                </c:pt>
                <c:pt idx="13">
                  <c:v>2.77455534995142E-2</c:v>
                </c:pt>
                <c:pt idx="14">
                  <c:v>2.6226293053461101E-2</c:v>
                </c:pt>
                <c:pt idx="15">
                  <c:v>2.79119367699538E-2</c:v>
                </c:pt>
                <c:pt idx="16">
                  <c:v>2.6644004915798099E-2</c:v>
                </c:pt>
                <c:pt idx="17">
                  <c:v>2.57376937977369E-2</c:v>
                </c:pt>
                <c:pt idx="18">
                  <c:v>2.4197847611602801E-2</c:v>
                </c:pt>
              </c:numCache>
            </c:numRef>
          </c:val>
          <c:extLst>
            <c:ext xmlns:c16="http://schemas.microsoft.com/office/drawing/2014/chart" uri="{C3380CC4-5D6E-409C-BE32-E72D297353CC}">
              <c16:uniqueId val="{00000001-FA98-4BC4-8716-AE08791359F9}"/>
            </c:ext>
          </c:extLst>
        </c:ser>
        <c:ser>
          <c:idx val="2"/>
          <c:order val="2"/>
          <c:tx>
            <c:strRef>
              <c:f>RegionalPerspective!$K$7:$K$8</c:f>
              <c:strCache>
                <c:ptCount val="1"/>
                <c:pt idx="0">
                  <c:v>Outputs</c:v>
                </c:pt>
              </c:strCache>
            </c:strRef>
          </c:tx>
          <c:spPr>
            <a:solidFill>
              <a:schemeClr val="accent3"/>
            </a:solidFill>
            <a:ln>
              <a:noFill/>
            </a:ln>
            <a:effectLst/>
          </c:spPr>
          <c:cat>
            <c:strRef>
              <c:f>RegionalPerspective!$H$9:$H$27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RegionalPerspective!$K$9:$K$27</c:f>
              <c:numCache>
                <c:formatCode>General</c:formatCode>
                <c:ptCount val="19"/>
                <c:pt idx="0">
                  <c:v>1.9448157854292201E-3</c:v>
                </c:pt>
                <c:pt idx="1">
                  <c:v>2.6415945345714801E-3</c:v>
                </c:pt>
                <c:pt idx="2">
                  <c:v>2.4789710573694E-3</c:v>
                </c:pt>
                <c:pt idx="3">
                  <c:v>1.87166182534004E-3</c:v>
                </c:pt>
                <c:pt idx="4">
                  <c:v>1.3416917948359699E-3</c:v>
                </c:pt>
                <c:pt idx="5">
                  <c:v>1.2935708354763801E-3</c:v>
                </c:pt>
                <c:pt idx="6">
                  <c:v>1.05700082518055E-3</c:v>
                </c:pt>
                <c:pt idx="7">
                  <c:v>1.13084297483399E-3</c:v>
                </c:pt>
                <c:pt idx="8">
                  <c:v>1.31676122154128E-3</c:v>
                </c:pt>
                <c:pt idx="9">
                  <c:v>1.1458917233535401E-3</c:v>
                </c:pt>
                <c:pt idx="10">
                  <c:v>2.7253735732249902E-3</c:v>
                </c:pt>
                <c:pt idx="11">
                  <c:v>2.58140178765581E-3</c:v>
                </c:pt>
                <c:pt idx="12">
                  <c:v>2.6513263686805499E-3</c:v>
                </c:pt>
                <c:pt idx="13">
                  <c:v>2.44754859467179E-3</c:v>
                </c:pt>
                <c:pt idx="14">
                  <c:v>1.8971179000442299E-3</c:v>
                </c:pt>
                <c:pt idx="15">
                  <c:v>2.2395863547409502E-3</c:v>
                </c:pt>
                <c:pt idx="16">
                  <c:v>1.7330938299788901E-3</c:v>
                </c:pt>
                <c:pt idx="17">
                  <c:v>1.52703226678563E-3</c:v>
                </c:pt>
                <c:pt idx="18">
                  <c:v>1.2733161532258899E-3</c:v>
                </c:pt>
              </c:numCache>
            </c:numRef>
          </c:val>
          <c:extLst>
            <c:ext xmlns:c16="http://schemas.microsoft.com/office/drawing/2014/chart" uri="{C3380CC4-5D6E-409C-BE32-E72D297353CC}">
              <c16:uniqueId val="{00000002-FA98-4BC4-8716-AE08791359F9}"/>
            </c:ext>
          </c:extLst>
        </c:ser>
        <c:ser>
          <c:idx val="3"/>
          <c:order val="3"/>
          <c:tx>
            <c:strRef>
              <c:f>RegionalPerspective!$L$7:$L$8</c:f>
              <c:strCache>
                <c:ptCount val="1"/>
                <c:pt idx="0">
                  <c:v>NRP</c:v>
                </c:pt>
              </c:strCache>
            </c:strRef>
          </c:tx>
          <c:spPr>
            <a:solidFill>
              <a:schemeClr val="accent4"/>
            </a:solidFill>
            <a:ln>
              <a:noFill/>
            </a:ln>
            <a:effectLst/>
          </c:spPr>
          <c:cat>
            <c:strRef>
              <c:f>RegionalPerspective!$H$9:$H$27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RegionalPerspective!$L$9:$L$27</c:f>
              <c:numCache>
                <c:formatCode>General</c:formatCode>
                <c:ptCount val="19"/>
                <c:pt idx="0">
                  <c:v>7.6518540027715699E-3</c:v>
                </c:pt>
                <c:pt idx="1">
                  <c:v>8.0450667445380805E-3</c:v>
                </c:pt>
                <c:pt idx="2">
                  <c:v>-2.6102624894880699E-2</c:v>
                </c:pt>
                <c:pt idx="3">
                  <c:v>-6.3706677634530404E-2</c:v>
                </c:pt>
                <c:pt idx="4">
                  <c:v>1.0070557308324299E-2</c:v>
                </c:pt>
                <c:pt idx="5">
                  <c:v>2.50983412017536E-2</c:v>
                </c:pt>
                <c:pt idx="6">
                  <c:v>-1.34066247222356E-2</c:v>
                </c:pt>
                <c:pt idx="7">
                  <c:v>3.3439702224240003E-2</c:v>
                </c:pt>
                <c:pt idx="8">
                  <c:v>1.8258576255543599E-2</c:v>
                </c:pt>
                <c:pt idx="9">
                  <c:v>4.1217906399406E-2</c:v>
                </c:pt>
                <c:pt idx="10">
                  <c:v>6.0110667956185901E-2</c:v>
                </c:pt>
                <c:pt idx="11">
                  <c:v>6.7562086996851206E-2</c:v>
                </c:pt>
                <c:pt idx="12">
                  <c:v>7.0445025740114006E-2</c:v>
                </c:pt>
                <c:pt idx="13">
                  <c:v>4.15598592085452E-2</c:v>
                </c:pt>
                <c:pt idx="14">
                  <c:v>4.2288616552637097E-2</c:v>
                </c:pt>
                <c:pt idx="15">
                  <c:v>5.8785803234822201E-2</c:v>
                </c:pt>
                <c:pt idx="16">
                  <c:v>4.5990056936207301E-2</c:v>
                </c:pt>
                <c:pt idx="17">
                  <c:v>3.0593948703795601E-2</c:v>
                </c:pt>
                <c:pt idx="18">
                  <c:v>3.18621545950118E-2</c:v>
                </c:pt>
              </c:numCache>
            </c:numRef>
          </c:val>
          <c:extLst>
            <c:ext xmlns:c16="http://schemas.microsoft.com/office/drawing/2014/chart" uri="{C3380CC4-5D6E-409C-BE32-E72D297353CC}">
              <c16:uniqueId val="{00000003-FA98-4BC4-8716-AE08791359F9}"/>
            </c:ext>
          </c:extLst>
        </c:ser>
        <c:dLbls>
          <c:showLegendKey val="0"/>
          <c:showVal val="0"/>
          <c:showCatName val="0"/>
          <c:showSerName val="0"/>
          <c:showPercent val="0"/>
          <c:showBubbleSize val="0"/>
        </c:dLbls>
        <c:axId val="924962088"/>
        <c:axId val="924963400"/>
      </c:areaChart>
      <c:catAx>
        <c:axId val="924962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63400"/>
        <c:crosses val="autoZero"/>
        <c:auto val="1"/>
        <c:lblAlgn val="ctr"/>
        <c:lblOffset val="100"/>
        <c:noMultiLvlLbl val="0"/>
      </c:catAx>
      <c:valAx>
        <c:axId val="924963400"/>
        <c:scaling>
          <c:orientation val="minMax"/>
          <c:max val="0.5"/>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NRA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62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[Support_Database_2025_version3.xlsx]RegionalPerspective!PivotTable9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Low Income Countries - All Products</a:t>
            </a:r>
            <a:endParaRPr lang="en-US" sz="1400">
              <a:effectLst/>
            </a:endParaRPr>
          </a:p>
        </c:rich>
      </c:tx>
      <c:layout>
        <c:manualLayout>
          <c:xMode val="edge"/>
          <c:yMode val="edge"/>
          <c:x val="0.29588325738178767"/>
          <c:y val="3.45088356521567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865673693021992E-2"/>
          <c:y val="0.15229675263366746"/>
          <c:w val="0.86472342004369873"/>
          <c:h val="0.72442495663133821"/>
        </c:manualLayout>
      </c:layout>
      <c:areaChart>
        <c:grouping val="stacked"/>
        <c:varyColors val="0"/>
        <c:ser>
          <c:idx val="0"/>
          <c:order val="0"/>
          <c:tx>
            <c:strRef>
              <c:f>RegionalPerspective!$P$7:$P$8</c:f>
              <c:strCache>
                <c:ptCount val="1"/>
                <c:pt idx="0">
                  <c:v>Others</c:v>
                </c:pt>
              </c:strCache>
            </c:strRef>
          </c:tx>
          <c:spPr>
            <a:solidFill>
              <a:schemeClr val="accent1"/>
            </a:solidFill>
            <a:ln>
              <a:noFill/>
            </a:ln>
            <a:effectLst/>
          </c:spPr>
          <c:cat>
            <c:strRef>
              <c:f>RegionalPerspective!$O$9:$O$27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RegionalPerspective!$P$9:$P$27</c:f>
              <c:numCache>
                <c:formatCode>General</c:formatCode>
                <c:ptCount val="19"/>
                <c:pt idx="0">
                  <c:v>6.59311820192703E-6</c:v>
                </c:pt>
                <c:pt idx="1">
                  <c:v>8.5515080093427598E-4</c:v>
                </c:pt>
                <c:pt idx="2">
                  <c:v>8.2906083068656202E-4</c:v>
                </c:pt>
                <c:pt idx="3">
                  <c:v>6.7225409939538597E-4</c:v>
                </c:pt>
                <c:pt idx="4">
                  <c:v>4.69604007395672E-4</c:v>
                </c:pt>
                <c:pt idx="5">
                  <c:v>3.9108007064411299E-4</c:v>
                </c:pt>
                <c:pt idx="6">
                  <c:v>3.2078447246996399E-4</c:v>
                </c:pt>
                <c:pt idx="7">
                  <c:v>3.4886561526735601E-4</c:v>
                </c:pt>
                <c:pt idx="8">
                  <c:v>2.84274657486687E-4</c:v>
                </c:pt>
                <c:pt idx="9">
                  <c:v>2.6929820846870298E-4</c:v>
                </c:pt>
                <c:pt idx="10">
                  <c:v>5.1025904570606501E-4</c:v>
                </c:pt>
                <c:pt idx="11">
                  <c:v>4.4537128057549899E-4</c:v>
                </c:pt>
                <c:pt idx="12">
                  <c:v>4.5028098137378801E-4</c:v>
                </c:pt>
                <c:pt idx="13">
                  <c:v>2.8136691770498201E-4</c:v>
                </c:pt>
                <c:pt idx="14">
                  <c:v>2.2664671526842299E-4</c:v>
                </c:pt>
                <c:pt idx="15">
                  <c:v>2.3311882092073101E-4</c:v>
                </c:pt>
                <c:pt idx="16">
                  <c:v>2.1104734201485601E-4</c:v>
                </c:pt>
                <c:pt idx="17">
                  <c:v>5.8604821908019998E-4</c:v>
                </c:pt>
              </c:numCache>
            </c:numRef>
          </c:val>
          <c:extLst>
            <c:ext xmlns:c16="http://schemas.microsoft.com/office/drawing/2014/chart" uri="{C3380CC4-5D6E-409C-BE32-E72D297353CC}">
              <c16:uniqueId val="{00000000-358D-478E-8B3E-DBCBAD46EDFE}"/>
            </c:ext>
          </c:extLst>
        </c:ser>
        <c:ser>
          <c:idx val="1"/>
          <c:order val="1"/>
          <c:tx>
            <c:strRef>
              <c:f>RegionalPerspective!$Q$7:$Q$8</c:f>
              <c:strCache>
                <c:ptCount val="1"/>
                <c:pt idx="0">
                  <c:v>Inputs</c:v>
                </c:pt>
              </c:strCache>
            </c:strRef>
          </c:tx>
          <c:spPr>
            <a:solidFill>
              <a:schemeClr val="accent2"/>
            </a:solidFill>
            <a:ln>
              <a:noFill/>
            </a:ln>
            <a:effectLst/>
          </c:spPr>
          <c:cat>
            <c:strRef>
              <c:f>RegionalPerspective!$O$9:$O$27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RegionalPerspective!$Q$9:$Q$27</c:f>
              <c:numCache>
                <c:formatCode>General</c:formatCode>
                <c:ptCount val="19"/>
                <c:pt idx="0">
                  <c:v>1.6499263788882499E-3</c:v>
                </c:pt>
                <c:pt idx="1">
                  <c:v>2.8228015649562998E-3</c:v>
                </c:pt>
                <c:pt idx="2">
                  <c:v>4.1636406791476597E-3</c:v>
                </c:pt>
                <c:pt idx="3">
                  <c:v>8.3829407357246897E-3</c:v>
                </c:pt>
                <c:pt idx="4">
                  <c:v>6.4146059937184603E-3</c:v>
                </c:pt>
                <c:pt idx="5">
                  <c:v>6.8378412124986904E-3</c:v>
                </c:pt>
                <c:pt idx="6">
                  <c:v>6.87162916314462E-3</c:v>
                </c:pt>
                <c:pt idx="7">
                  <c:v>6.8467187861494501E-3</c:v>
                </c:pt>
                <c:pt idx="8">
                  <c:v>7.8730896410822097E-3</c:v>
                </c:pt>
                <c:pt idx="9">
                  <c:v>5.9400983108937998E-3</c:v>
                </c:pt>
                <c:pt idx="10">
                  <c:v>4.7015202718753198E-3</c:v>
                </c:pt>
                <c:pt idx="11">
                  <c:v>4.6148503740418003E-3</c:v>
                </c:pt>
                <c:pt idx="12">
                  <c:v>3.5092378278158099E-3</c:v>
                </c:pt>
                <c:pt idx="13">
                  <c:v>3.3506698796392999E-3</c:v>
                </c:pt>
                <c:pt idx="14">
                  <c:v>2.4854805941775301E-3</c:v>
                </c:pt>
                <c:pt idx="15">
                  <c:v>3.5940758908362398E-3</c:v>
                </c:pt>
                <c:pt idx="16">
                  <c:v>2.6678781965220602E-3</c:v>
                </c:pt>
                <c:pt idx="17">
                  <c:v>4.7474526206150603E-3</c:v>
                </c:pt>
                <c:pt idx="18">
                  <c:v>3.0833953671507799E-3</c:v>
                </c:pt>
              </c:numCache>
            </c:numRef>
          </c:val>
          <c:extLst>
            <c:ext xmlns:c16="http://schemas.microsoft.com/office/drawing/2014/chart" uri="{C3380CC4-5D6E-409C-BE32-E72D297353CC}">
              <c16:uniqueId val="{00000001-358D-478E-8B3E-DBCBAD46EDFE}"/>
            </c:ext>
          </c:extLst>
        </c:ser>
        <c:ser>
          <c:idx val="2"/>
          <c:order val="2"/>
          <c:tx>
            <c:strRef>
              <c:f>RegionalPerspective!$R$7:$R$8</c:f>
              <c:strCache>
                <c:ptCount val="1"/>
                <c:pt idx="0">
                  <c:v>Outputs</c:v>
                </c:pt>
              </c:strCache>
            </c:strRef>
          </c:tx>
          <c:spPr>
            <a:solidFill>
              <a:schemeClr val="accent3"/>
            </a:solidFill>
            <a:ln>
              <a:noFill/>
            </a:ln>
            <a:effectLst/>
          </c:spPr>
          <c:cat>
            <c:strRef>
              <c:f>RegionalPerspective!$O$9:$O$27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RegionalPerspective!$R$9:$R$27</c:f>
              <c:numCache>
                <c:formatCode>General</c:formatCode>
                <c:ptCount val="19"/>
                <c:pt idx="6">
                  <c:v>2.2838928744777301E-4</c:v>
                </c:pt>
                <c:pt idx="7">
                  <c:v>8.3188940230314901E-5</c:v>
                </c:pt>
                <c:pt idx="8">
                  <c:v>1.18366608613432E-4</c:v>
                </c:pt>
                <c:pt idx="9">
                  <c:v>2.4669798503775599E-4</c:v>
                </c:pt>
                <c:pt idx="10">
                  <c:v>2.2367937406965401E-4</c:v>
                </c:pt>
                <c:pt idx="11">
                  <c:v>2.4101825249686501E-5</c:v>
                </c:pt>
                <c:pt idx="12">
                  <c:v>2.3480640018503499E-5</c:v>
                </c:pt>
              </c:numCache>
            </c:numRef>
          </c:val>
          <c:extLst>
            <c:ext xmlns:c16="http://schemas.microsoft.com/office/drawing/2014/chart" uri="{C3380CC4-5D6E-409C-BE32-E72D297353CC}">
              <c16:uniqueId val="{00000002-358D-478E-8B3E-DBCBAD46EDFE}"/>
            </c:ext>
          </c:extLst>
        </c:ser>
        <c:ser>
          <c:idx val="3"/>
          <c:order val="3"/>
          <c:tx>
            <c:strRef>
              <c:f>RegionalPerspective!$S$7:$S$8</c:f>
              <c:strCache>
                <c:ptCount val="1"/>
                <c:pt idx="0">
                  <c:v>NRP</c:v>
                </c:pt>
              </c:strCache>
            </c:strRef>
          </c:tx>
          <c:spPr>
            <a:solidFill>
              <a:schemeClr val="accent4"/>
            </a:solidFill>
            <a:ln>
              <a:noFill/>
            </a:ln>
            <a:effectLst/>
          </c:spPr>
          <c:cat>
            <c:strRef>
              <c:f>RegionalPerspective!$O$9:$O$27</c:f>
              <c:strCach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strCache>
            </c:strRef>
          </c:cat>
          <c:val>
            <c:numRef>
              <c:f>RegionalPerspective!$S$9:$S$27</c:f>
              <c:numCache>
                <c:formatCode>General</c:formatCode>
                <c:ptCount val="19"/>
                <c:pt idx="0">
                  <c:v>-0.26514125079066198</c:v>
                </c:pt>
                <c:pt idx="1">
                  <c:v>-0.31565345333222899</c:v>
                </c:pt>
                <c:pt idx="2">
                  <c:v>-0.16376678895658001</c:v>
                </c:pt>
                <c:pt idx="3">
                  <c:v>-4.5158399201322502E-2</c:v>
                </c:pt>
                <c:pt idx="4">
                  <c:v>-8.5683125251015804E-2</c:v>
                </c:pt>
                <c:pt idx="5">
                  <c:v>-0.194519525806649</c:v>
                </c:pt>
                <c:pt idx="6">
                  <c:v>-0.160762739406207</c:v>
                </c:pt>
                <c:pt idx="7">
                  <c:v>-7.2348926286505397E-2</c:v>
                </c:pt>
                <c:pt idx="8">
                  <c:v>-9.0013960751132702E-2</c:v>
                </c:pt>
                <c:pt idx="9">
                  <c:v>-0.193961744157051</c:v>
                </c:pt>
                <c:pt idx="10">
                  <c:v>-0.22583852048759301</c:v>
                </c:pt>
                <c:pt idx="11">
                  <c:v>-0.23305551848258799</c:v>
                </c:pt>
                <c:pt idx="12">
                  <c:v>-0.22140180442333601</c:v>
                </c:pt>
                <c:pt idx="13">
                  <c:v>-0.16094516574868201</c:v>
                </c:pt>
                <c:pt idx="14">
                  <c:v>-0.19099754752513401</c:v>
                </c:pt>
                <c:pt idx="15">
                  <c:v>-0.147645920535068</c:v>
                </c:pt>
                <c:pt idx="16">
                  <c:v>-0.12509166243248501</c:v>
                </c:pt>
                <c:pt idx="17">
                  <c:v>6.3422274795109104E-2</c:v>
                </c:pt>
                <c:pt idx="18">
                  <c:v>-4.2236483166565503E-2</c:v>
                </c:pt>
              </c:numCache>
            </c:numRef>
          </c:val>
          <c:extLst>
            <c:ext xmlns:c16="http://schemas.microsoft.com/office/drawing/2014/chart" uri="{C3380CC4-5D6E-409C-BE32-E72D297353CC}">
              <c16:uniqueId val="{00000003-358D-478E-8B3E-DBCBAD46EDFE}"/>
            </c:ext>
          </c:extLst>
        </c:ser>
        <c:dLbls>
          <c:showLegendKey val="0"/>
          <c:showVal val="0"/>
          <c:showCatName val="0"/>
          <c:showSerName val="0"/>
          <c:showPercent val="0"/>
          <c:showBubbleSize val="0"/>
        </c:dLbls>
        <c:axId val="1107449528"/>
        <c:axId val="926580688"/>
      </c:areaChart>
      <c:catAx>
        <c:axId val="11074495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580688"/>
        <c:crosses val="autoZero"/>
        <c:auto val="1"/>
        <c:lblAlgn val="ctr"/>
        <c:lblOffset val="100"/>
        <c:noMultiLvlLbl val="0"/>
      </c:catAx>
      <c:valAx>
        <c:axId val="926580688"/>
        <c:scaling>
          <c:orientation val="minMax"/>
          <c:max val="0.5"/>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NRA</a:t>
                </a:r>
              </a:p>
            </c:rich>
          </c:tx>
          <c:layout>
            <c:manualLayout>
              <c:xMode val="edge"/>
              <c:yMode val="edge"/>
              <c:x val="0"/>
              <c:y val="0.468805427126204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49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64069C-4B5A-4A9A-BB74-11ED13385C59}" type="doc">
      <dgm:prSet loTypeId="urn:microsoft.com/office/officeart/2005/8/layout/hProcess4" loCatId="process" qsTypeId="urn:microsoft.com/office/officeart/2005/8/quickstyle/simple2" qsCatId="simple" csTypeId="urn:microsoft.com/office/officeart/2005/8/colors/accent2_2" csCatId="accent2" phldr="1"/>
      <dgm:spPr/>
      <dgm:t>
        <a:bodyPr/>
        <a:lstStyle/>
        <a:p>
          <a:endParaRPr lang="en-US"/>
        </a:p>
      </dgm:t>
    </dgm:pt>
    <dgm:pt modelId="{B4ABC1F3-DD0C-4840-BE6D-E94F3C86E153}">
      <dgm:prSet/>
      <dgm:spPr/>
      <dgm:t>
        <a:bodyPr/>
        <a:lstStyle/>
        <a:p>
          <a:r>
            <a:rPr lang="en-US">
              <a:latin typeface="Times New Roman" panose="02020603050405020304" pitchFamily="18" charset="0"/>
              <a:cs typeface="Times New Roman" panose="02020603050405020304" pitchFamily="18" charset="0"/>
            </a:rPr>
            <a:t>Benchmark </a:t>
          </a:r>
          <a:r>
            <a:rPr lang="en-US" dirty="0">
              <a:latin typeface="Times New Roman" panose="02020603050405020304" pitchFamily="18" charset="0"/>
              <a:cs typeface="Times New Roman" panose="02020603050405020304" pitchFamily="18" charset="0"/>
            </a:rPr>
            <a:t>Price</a:t>
          </a:r>
        </a:p>
      </dgm:t>
    </dgm:pt>
    <dgm:pt modelId="{2CEFAF10-F7EA-4EB8-8EB1-674C34386D89}" type="parTrans" cxnId="{8CF2F8E2-4126-4A6D-AA04-3D4CEE6EE097}">
      <dgm:prSet/>
      <dgm:spPr/>
      <dgm:t>
        <a:bodyPr/>
        <a:lstStyle/>
        <a:p>
          <a:endParaRPr lang="en-US"/>
        </a:p>
      </dgm:t>
    </dgm:pt>
    <dgm:pt modelId="{B2630865-87F2-489B-8047-F220DD61016A}" type="sibTrans" cxnId="{8CF2F8E2-4126-4A6D-AA04-3D4CEE6EE097}">
      <dgm:prSet/>
      <dgm:spPr/>
      <dgm:t>
        <a:bodyPr/>
        <a:lstStyle/>
        <a:p>
          <a:endParaRPr lang="en-US"/>
        </a:p>
      </dgm:t>
    </dgm:pt>
    <dgm:pt modelId="{0245B92C-539E-4A11-9D8D-705195FFFBC2}">
      <dgm:prSet/>
      <dgm:spPr/>
      <dgm:t>
        <a:bodyPr/>
        <a:lstStyle/>
        <a:p>
          <a:r>
            <a:rPr lang="en-US" dirty="0">
              <a:latin typeface="Times New Roman" panose="02020603050405020304" pitchFamily="18" charset="0"/>
              <a:cs typeface="Times New Roman" panose="02020603050405020304" pitchFamily="18" charset="0"/>
            </a:rPr>
            <a:t>Reference Price</a:t>
          </a:r>
        </a:p>
      </dgm:t>
    </dgm:pt>
    <dgm:pt modelId="{908D5B23-0261-445F-8102-5AEB1C9583A1}" type="parTrans" cxnId="{EA3083E1-F721-4C70-AB4C-C817DB219944}">
      <dgm:prSet/>
      <dgm:spPr/>
      <dgm:t>
        <a:bodyPr/>
        <a:lstStyle/>
        <a:p>
          <a:endParaRPr lang="en-US"/>
        </a:p>
      </dgm:t>
    </dgm:pt>
    <dgm:pt modelId="{B90CE424-FA9C-4BE9-9AC3-24CB71DFFBC3}" type="sibTrans" cxnId="{EA3083E1-F721-4C70-AB4C-C817DB219944}">
      <dgm:prSet/>
      <dgm:spPr/>
      <dgm:t>
        <a:bodyPr/>
        <a:lstStyle/>
        <a:p>
          <a:endParaRPr lang="en-US"/>
        </a:p>
      </dgm:t>
    </dgm:pt>
    <dgm:pt modelId="{AD317970-CDC8-4F55-A70F-182DCC532818}">
      <dgm:prSet/>
      <dgm:spPr/>
      <dgm:t>
        <a:bodyPr/>
        <a:lstStyle/>
        <a:p>
          <a:r>
            <a:rPr lang="en-US" dirty="0">
              <a:latin typeface="Times New Roman" panose="02020603050405020304" pitchFamily="18" charset="0"/>
              <a:cs typeface="Times New Roman" panose="02020603050405020304" pitchFamily="18" charset="0"/>
            </a:rPr>
            <a:t>Official Exchange Rate</a:t>
          </a:r>
        </a:p>
      </dgm:t>
    </dgm:pt>
    <dgm:pt modelId="{FF16442E-E4EE-43BB-AB14-2B7DB85277EF}" type="parTrans" cxnId="{4CD6291F-25A1-4192-84BB-AC186555429B}">
      <dgm:prSet/>
      <dgm:spPr/>
      <dgm:t>
        <a:bodyPr/>
        <a:lstStyle/>
        <a:p>
          <a:endParaRPr lang="en-US"/>
        </a:p>
      </dgm:t>
    </dgm:pt>
    <dgm:pt modelId="{E6DE486F-828D-45D0-B3AB-C2E53D702700}" type="sibTrans" cxnId="{4CD6291F-25A1-4192-84BB-AC186555429B}">
      <dgm:prSet/>
      <dgm:spPr/>
      <dgm:t>
        <a:bodyPr/>
        <a:lstStyle/>
        <a:p>
          <a:endParaRPr lang="en-US"/>
        </a:p>
      </dgm:t>
    </dgm:pt>
    <dgm:pt modelId="{EBA27591-2CA6-4732-9D21-BECD98B521C5}">
      <dgm:prSet/>
      <dgm:spPr/>
      <dgm:t>
        <a:bodyPr/>
        <a:lstStyle/>
        <a:p>
          <a:r>
            <a:rPr lang="en-US" dirty="0">
              <a:latin typeface="Times New Roman" panose="02020603050405020304" pitchFamily="18" charset="0"/>
              <a:cs typeface="Times New Roman" panose="02020603050405020304" pitchFamily="18" charset="0"/>
            </a:rPr>
            <a:t>Quantity Adjustment</a:t>
          </a:r>
        </a:p>
      </dgm:t>
    </dgm:pt>
    <dgm:pt modelId="{0875C7B4-3B02-41B9-8447-82601A93A28A}" type="parTrans" cxnId="{81F04FD9-613A-4697-93DE-3DFD75A09951}">
      <dgm:prSet/>
      <dgm:spPr/>
      <dgm:t>
        <a:bodyPr/>
        <a:lstStyle/>
        <a:p>
          <a:endParaRPr lang="en-US"/>
        </a:p>
      </dgm:t>
    </dgm:pt>
    <dgm:pt modelId="{3A377165-4F9B-4047-9C9F-3BB4FE37EA7F}" type="sibTrans" cxnId="{81F04FD9-613A-4697-93DE-3DFD75A09951}">
      <dgm:prSet/>
      <dgm:spPr/>
      <dgm:t>
        <a:bodyPr/>
        <a:lstStyle/>
        <a:p>
          <a:endParaRPr lang="en-US"/>
        </a:p>
      </dgm:t>
    </dgm:pt>
    <dgm:pt modelId="{B35B8748-D0FD-4B50-A38D-2C58974B07B2}">
      <dgm:prSet/>
      <dgm:spPr/>
      <dgm:t>
        <a:bodyPr/>
        <a:lstStyle/>
        <a:p>
          <a:r>
            <a:rPr lang="en-US" dirty="0">
              <a:latin typeface="Times New Roman" panose="02020603050405020304" pitchFamily="18" charset="0"/>
              <a:cs typeface="Times New Roman" panose="02020603050405020304" pitchFamily="18" charset="0"/>
            </a:rPr>
            <a:t>Quality Adjustment</a:t>
          </a:r>
        </a:p>
      </dgm:t>
    </dgm:pt>
    <dgm:pt modelId="{3E5E39E2-B4EC-49B8-A92E-6C67A9E7AB46}" type="parTrans" cxnId="{79D9FD54-708B-419C-A7A1-95853288DCE2}">
      <dgm:prSet/>
      <dgm:spPr/>
      <dgm:t>
        <a:bodyPr/>
        <a:lstStyle/>
        <a:p>
          <a:endParaRPr lang="en-US"/>
        </a:p>
      </dgm:t>
    </dgm:pt>
    <dgm:pt modelId="{FBB8E361-62A6-4211-9A69-D9BCFB3BD56B}" type="sibTrans" cxnId="{79D9FD54-708B-419C-A7A1-95853288DCE2}">
      <dgm:prSet/>
      <dgm:spPr/>
      <dgm:t>
        <a:bodyPr/>
        <a:lstStyle/>
        <a:p>
          <a:endParaRPr lang="en-US"/>
        </a:p>
      </dgm:t>
    </dgm:pt>
    <dgm:pt modelId="{2A05D704-84AC-4F0C-96C9-71EC91D540D4}">
      <dgm:prSet/>
      <dgm:spPr/>
      <dgm:t>
        <a:bodyPr/>
        <a:lstStyle/>
        <a:p>
          <a:r>
            <a:rPr lang="en-US" dirty="0">
              <a:latin typeface="Times New Roman" panose="02020603050405020304" pitchFamily="18" charset="0"/>
              <a:cs typeface="Times New Roman" panose="02020603050405020304" pitchFamily="18" charset="0"/>
            </a:rPr>
            <a:t>Reference Price at Point of Competition</a:t>
          </a:r>
        </a:p>
      </dgm:t>
    </dgm:pt>
    <dgm:pt modelId="{D4362923-14FB-403F-AF3E-7B2552970CCA}" type="parTrans" cxnId="{1C8B83C2-2D63-41A9-897E-32D5756D302F}">
      <dgm:prSet/>
      <dgm:spPr/>
      <dgm:t>
        <a:bodyPr/>
        <a:lstStyle/>
        <a:p>
          <a:endParaRPr lang="en-US"/>
        </a:p>
      </dgm:t>
    </dgm:pt>
    <dgm:pt modelId="{9570E151-C975-4D52-ADD8-460933602289}" type="sibTrans" cxnId="{1C8B83C2-2D63-41A9-897E-32D5756D302F}">
      <dgm:prSet/>
      <dgm:spPr/>
      <dgm:t>
        <a:bodyPr/>
        <a:lstStyle/>
        <a:p>
          <a:endParaRPr lang="en-US"/>
        </a:p>
      </dgm:t>
    </dgm:pt>
    <dgm:pt modelId="{AD247E88-9233-45D3-9BAF-C98E058C4D5A}">
      <dgm:prSet/>
      <dgm:spPr/>
      <dgm:t>
        <a:bodyPr/>
        <a:lstStyle/>
        <a:p>
          <a:r>
            <a:rPr lang="en-US" dirty="0">
              <a:latin typeface="Times New Roman" panose="02020603050405020304" pitchFamily="18" charset="0"/>
              <a:cs typeface="Times New Roman" panose="02020603050405020304" pitchFamily="18" charset="0"/>
            </a:rPr>
            <a:t>Quantity Adjustment</a:t>
          </a:r>
        </a:p>
      </dgm:t>
    </dgm:pt>
    <dgm:pt modelId="{7FACD40D-FDDD-4B29-AF3D-49458C2105DA}" type="parTrans" cxnId="{C6AC6272-9B93-4582-87A8-A89ECC3448B1}">
      <dgm:prSet/>
      <dgm:spPr/>
      <dgm:t>
        <a:bodyPr/>
        <a:lstStyle/>
        <a:p>
          <a:endParaRPr lang="en-US"/>
        </a:p>
      </dgm:t>
    </dgm:pt>
    <dgm:pt modelId="{FBA2F636-0FE8-4CA4-9A8E-07E3DE67FDD2}" type="sibTrans" cxnId="{C6AC6272-9B93-4582-87A8-A89ECC3448B1}">
      <dgm:prSet/>
      <dgm:spPr/>
      <dgm:t>
        <a:bodyPr/>
        <a:lstStyle/>
        <a:p>
          <a:endParaRPr lang="en-US"/>
        </a:p>
      </dgm:t>
    </dgm:pt>
    <dgm:pt modelId="{539FDF51-04B2-4B12-AEF0-5141FEEA3820}">
      <dgm:prSet/>
      <dgm:spPr/>
      <dgm:t>
        <a:bodyPr/>
        <a:lstStyle/>
        <a:p>
          <a:r>
            <a:rPr lang="en-US" dirty="0">
              <a:latin typeface="Times New Roman" panose="02020603050405020304" pitchFamily="18" charset="0"/>
              <a:cs typeface="Times New Roman" panose="02020603050405020304" pitchFamily="18" charset="0"/>
            </a:rPr>
            <a:t>Quality Adjustment</a:t>
          </a:r>
        </a:p>
      </dgm:t>
    </dgm:pt>
    <dgm:pt modelId="{27B43DB8-F41A-455D-856D-FB9249F95C03}" type="parTrans" cxnId="{1526B825-7DAB-427E-AEBA-E42F4E5C2D9E}">
      <dgm:prSet/>
      <dgm:spPr/>
      <dgm:t>
        <a:bodyPr/>
        <a:lstStyle/>
        <a:p>
          <a:endParaRPr lang="en-US"/>
        </a:p>
      </dgm:t>
    </dgm:pt>
    <dgm:pt modelId="{A80B1D1C-8A15-49A5-99B3-B5947A76E96F}" type="sibTrans" cxnId="{1526B825-7DAB-427E-AEBA-E42F4E5C2D9E}">
      <dgm:prSet/>
      <dgm:spPr/>
      <dgm:t>
        <a:bodyPr/>
        <a:lstStyle/>
        <a:p>
          <a:endParaRPr lang="en-US"/>
        </a:p>
      </dgm:t>
    </dgm:pt>
    <dgm:pt modelId="{28034907-F0F4-4508-88E3-36189B5D745A}">
      <dgm:prSet/>
      <dgm:spPr/>
      <dgm:t>
        <a:bodyPr/>
        <a:lstStyle/>
        <a:p>
          <a:r>
            <a:rPr lang="en-US" dirty="0">
              <a:latin typeface="Times New Roman" panose="02020603050405020304" pitchFamily="18" charset="0"/>
              <a:cs typeface="Times New Roman" panose="02020603050405020304" pitchFamily="18" charset="0"/>
            </a:rPr>
            <a:t>Processing Margins</a:t>
          </a:r>
        </a:p>
      </dgm:t>
    </dgm:pt>
    <dgm:pt modelId="{7C96E50A-4DD3-4024-944B-785BC3153E6A}" type="parTrans" cxnId="{2919A2F2-DEBF-469E-8895-C54BAE0CCFC8}">
      <dgm:prSet/>
      <dgm:spPr/>
      <dgm:t>
        <a:bodyPr/>
        <a:lstStyle/>
        <a:p>
          <a:endParaRPr lang="en-US"/>
        </a:p>
      </dgm:t>
    </dgm:pt>
    <dgm:pt modelId="{051EFF57-F9F8-45C0-A293-BDDD68C7F527}" type="sibTrans" cxnId="{2919A2F2-DEBF-469E-8895-C54BAE0CCFC8}">
      <dgm:prSet/>
      <dgm:spPr/>
      <dgm:t>
        <a:bodyPr/>
        <a:lstStyle/>
        <a:p>
          <a:endParaRPr lang="en-US"/>
        </a:p>
      </dgm:t>
    </dgm:pt>
    <dgm:pt modelId="{CB252E2A-FEF1-448F-9B96-349E12BAB1F1}">
      <dgm:prSet/>
      <dgm:spPr/>
      <dgm:t>
        <a:bodyPr/>
        <a:lstStyle/>
        <a:p>
          <a:r>
            <a:rPr lang="en-US" dirty="0">
              <a:latin typeface="Times New Roman" panose="02020603050405020304" pitchFamily="18" charset="0"/>
              <a:cs typeface="Times New Roman" panose="02020603050405020304" pitchFamily="18" charset="0"/>
            </a:rPr>
            <a:t>Transportation Margins</a:t>
          </a:r>
        </a:p>
      </dgm:t>
    </dgm:pt>
    <dgm:pt modelId="{D8E31D7E-09A4-498A-8FE2-CC7A65A46148}" type="parTrans" cxnId="{60CC2CFB-00DA-4E00-8DC8-4B8B3AD2D936}">
      <dgm:prSet/>
      <dgm:spPr/>
      <dgm:t>
        <a:bodyPr/>
        <a:lstStyle/>
        <a:p>
          <a:endParaRPr lang="en-US"/>
        </a:p>
      </dgm:t>
    </dgm:pt>
    <dgm:pt modelId="{B6852C79-A09F-450D-9DC8-1872C903555C}" type="sibTrans" cxnId="{60CC2CFB-00DA-4E00-8DC8-4B8B3AD2D936}">
      <dgm:prSet/>
      <dgm:spPr/>
      <dgm:t>
        <a:bodyPr/>
        <a:lstStyle/>
        <a:p>
          <a:endParaRPr lang="en-US"/>
        </a:p>
      </dgm:t>
    </dgm:pt>
    <dgm:pt modelId="{58FB80D3-BC9C-486D-A9E4-0744DB826899}">
      <dgm:prSet/>
      <dgm:spPr/>
      <dgm:t>
        <a:bodyPr/>
        <a:lstStyle/>
        <a:p>
          <a:r>
            <a:rPr lang="en-US" dirty="0">
              <a:latin typeface="Times New Roman" panose="02020603050405020304" pitchFamily="18" charset="0"/>
              <a:cs typeface="Times New Roman" panose="02020603050405020304" pitchFamily="18" charset="0"/>
            </a:rPr>
            <a:t>Other Costs</a:t>
          </a:r>
        </a:p>
      </dgm:t>
    </dgm:pt>
    <dgm:pt modelId="{80312C6A-55B2-4F04-AA70-C1E1E4A95EA7}" type="parTrans" cxnId="{B12ED0F5-9D7A-4F31-904B-B3BDB1AAA0A2}">
      <dgm:prSet/>
      <dgm:spPr/>
      <dgm:t>
        <a:bodyPr/>
        <a:lstStyle/>
        <a:p>
          <a:endParaRPr lang="en-US"/>
        </a:p>
      </dgm:t>
    </dgm:pt>
    <dgm:pt modelId="{9E2CC60D-0925-41E9-BF0A-B52D4E485D67}" type="sibTrans" cxnId="{B12ED0F5-9D7A-4F31-904B-B3BDB1AAA0A2}">
      <dgm:prSet/>
      <dgm:spPr/>
      <dgm:t>
        <a:bodyPr/>
        <a:lstStyle/>
        <a:p>
          <a:endParaRPr lang="en-US"/>
        </a:p>
      </dgm:t>
    </dgm:pt>
    <dgm:pt modelId="{A70FA230-3AAF-4681-9F3F-9397BF812612}">
      <dgm:prSet/>
      <dgm:spPr/>
      <dgm:t>
        <a:bodyPr/>
        <a:lstStyle/>
        <a:p>
          <a:r>
            <a:rPr lang="en-US" dirty="0">
              <a:latin typeface="Times New Roman" panose="02020603050405020304" pitchFamily="18" charset="0"/>
              <a:cs typeface="Times New Roman" panose="02020603050405020304" pitchFamily="18" charset="0"/>
            </a:rPr>
            <a:t>Processing Margins</a:t>
          </a:r>
        </a:p>
      </dgm:t>
    </dgm:pt>
    <dgm:pt modelId="{D8A8A868-D3A2-4FA9-B396-63073B78E937}" type="parTrans" cxnId="{C4CA8E65-8D03-4B5B-A4D9-2D41D11B194A}">
      <dgm:prSet/>
      <dgm:spPr/>
      <dgm:t>
        <a:bodyPr/>
        <a:lstStyle/>
        <a:p>
          <a:endParaRPr lang="en-US"/>
        </a:p>
      </dgm:t>
    </dgm:pt>
    <dgm:pt modelId="{95437946-710B-41A6-AA2F-506F61DFABAC}" type="sibTrans" cxnId="{C4CA8E65-8D03-4B5B-A4D9-2D41D11B194A}">
      <dgm:prSet/>
      <dgm:spPr/>
      <dgm:t>
        <a:bodyPr/>
        <a:lstStyle/>
        <a:p>
          <a:endParaRPr lang="en-US"/>
        </a:p>
      </dgm:t>
    </dgm:pt>
    <dgm:pt modelId="{27F081D1-C251-4A70-A700-5FDD48C52D10}">
      <dgm:prSet/>
      <dgm:spPr/>
      <dgm:t>
        <a:bodyPr/>
        <a:lstStyle/>
        <a:p>
          <a:r>
            <a:rPr lang="en-US" dirty="0">
              <a:latin typeface="Times New Roman" panose="02020603050405020304" pitchFamily="18" charset="0"/>
              <a:cs typeface="Times New Roman" panose="02020603050405020304" pitchFamily="18" charset="0"/>
            </a:rPr>
            <a:t>Transportation Margins</a:t>
          </a:r>
        </a:p>
      </dgm:t>
    </dgm:pt>
    <dgm:pt modelId="{DD75B1D5-3E36-4B4D-9C59-1CF89427438B}" type="parTrans" cxnId="{3ED7935D-8F8F-4D35-A9A6-9D4F67901E11}">
      <dgm:prSet/>
      <dgm:spPr/>
      <dgm:t>
        <a:bodyPr/>
        <a:lstStyle/>
        <a:p>
          <a:endParaRPr lang="en-US"/>
        </a:p>
      </dgm:t>
    </dgm:pt>
    <dgm:pt modelId="{A6AB80F0-457D-4814-8B5B-BD71B4D9F07C}" type="sibTrans" cxnId="{3ED7935D-8F8F-4D35-A9A6-9D4F67901E11}">
      <dgm:prSet/>
      <dgm:spPr/>
      <dgm:t>
        <a:bodyPr/>
        <a:lstStyle/>
        <a:p>
          <a:endParaRPr lang="en-US"/>
        </a:p>
      </dgm:t>
    </dgm:pt>
    <dgm:pt modelId="{4EE6790F-AFDD-4E49-8639-9145404544C6}">
      <dgm:prSet/>
      <dgm:spPr/>
      <dgm:t>
        <a:bodyPr/>
        <a:lstStyle/>
        <a:p>
          <a:r>
            <a:rPr lang="en-US" dirty="0">
              <a:latin typeface="Times New Roman" panose="02020603050405020304" pitchFamily="18" charset="0"/>
              <a:cs typeface="Times New Roman" panose="02020603050405020304" pitchFamily="18" charset="0"/>
            </a:rPr>
            <a:t>Other Costs</a:t>
          </a:r>
        </a:p>
      </dgm:t>
    </dgm:pt>
    <dgm:pt modelId="{915AEBCE-A39E-45C4-A009-1511FD0DD122}" type="parTrans" cxnId="{5A272038-167E-4AEB-9FD1-6720B341E9A2}">
      <dgm:prSet/>
      <dgm:spPr/>
      <dgm:t>
        <a:bodyPr/>
        <a:lstStyle/>
        <a:p>
          <a:endParaRPr lang="en-US"/>
        </a:p>
      </dgm:t>
    </dgm:pt>
    <dgm:pt modelId="{D0A4C849-793C-448A-BD54-FD25BD8F58B2}" type="sibTrans" cxnId="{5A272038-167E-4AEB-9FD1-6720B341E9A2}">
      <dgm:prSet/>
      <dgm:spPr/>
      <dgm:t>
        <a:bodyPr/>
        <a:lstStyle/>
        <a:p>
          <a:endParaRPr lang="en-US"/>
        </a:p>
      </dgm:t>
    </dgm:pt>
    <dgm:pt modelId="{45D2F980-CE00-489F-B567-E63BFFEBC702}">
      <dgm:prSet/>
      <dgm:spPr/>
      <dgm:t>
        <a:bodyPr/>
        <a:lstStyle/>
        <a:p>
          <a:r>
            <a:rPr lang="en-US" dirty="0">
              <a:latin typeface="Times New Roman" panose="02020603050405020304" pitchFamily="18" charset="0"/>
              <a:cs typeface="Times New Roman" panose="02020603050405020304" pitchFamily="18" charset="0"/>
            </a:rPr>
            <a:t>Quantity Adjustment</a:t>
          </a:r>
        </a:p>
      </dgm:t>
    </dgm:pt>
    <dgm:pt modelId="{A972586C-45E9-41FB-BDB7-FE321FAD3B1B}" type="parTrans" cxnId="{35E1987C-786A-40D7-9D49-18A4A13029A5}">
      <dgm:prSet/>
      <dgm:spPr/>
      <dgm:t>
        <a:bodyPr/>
        <a:lstStyle/>
        <a:p>
          <a:endParaRPr lang="en-US"/>
        </a:p>
      </dgm:t>
    </dgm:pt>
    <dgm:pt modelId="{2E6800A1-2C5C-4BE0-BE04-E4EE23049842}" type="sibTrans" cxnId="{35E1987C-786A-40D7-9D49-18A4A13029A5}">
      <dgm:prSet/>
      <dgm:spPr/>
      <dgm:t>
        <a:bodyPr/>
        <a:lstStyle/>
        <a:p>
          <a:endParaRPr lang="en-US"/>
        </a:p>
      </dgm:t>
    </dgm:pt>
    <dgm:pt modelId="{18F21B7C-96FB-4DAA-A476-1FD8ACE52DA5}">
      <dgm:prSet/>
      <dgm:spPr/>
      <dgm:t>
        <a:bodyPr/>
        <a:lstStyle/>
        <a:p>
          <a:r>
            <a:rPr lang="en-US" dirty="0">
              <a:latin typeface="Times New Roman" panose="02020603050405020304" pitchFamily="18" charset="0"/>
              <a:cs typeface="Times New Roman" panose="02020603050405020304" pitchFamily="18" charset="0"/>
            </a:rPr>
            <a:t>Quality Adjustment</a:t>
          </a:r>
        </a:p>
      </dgm:t>
    </dgm:pt>
    <dgm:pt modelId="{AD80DC36-B14C-4042-86F2-CA462AF9D86E}" type="parTrans" cxnId="{D257FB63-6697-404D-93B6-CCB7D760694C}">
      <dgm:prSet/>
      <dgm:spPr/>
      <dgm:t>
        <a:bodyPr/>
        <a:lstStyle/>
        <a:p>
          <a:endParaRPr lang="en-US"/>
        </a:p>
      </dgm:t>
    </dgm:pt>
    <dgm:pt modelId="{07180DB3-1F30-49B0-AB01-B96BBAB77509}" type="sibTrans" cxnId="{D257FB63-6697-404D-93B6-CCB7D760694C}">
      <dgm:prSet/>
      <dgm:spPr/>
      <dgm:t>
        <a:bodyPr/>
        <a:lstStyle/>
        <a:p>
          <a:endParaRPr lang="en-US"/>
        </a:p>
      </dgm:t>
    </dgm:pt>
    <dgm:pt modelId="{BB9C7C9D-B90D-4927-A564-857C9B8A64A6}">
      <dgm:prSet/>
      <dgm:spPr/>
      <dgm:t>
        <a:bodyPr/>
        <a:lstStyle/>
        <a:p>
          <a:r>
            <a:rPr lang="en-US" dirty="0">
              <a:latin typeface="Times New Roman" panose="02020603050405020304" pitchFamily="18" charset="0"/>
              <a:cs typeface="Times New Roman" panose="02020603050405020304" pitchFamily="18" charset="0"/>
            </a:rPr>
            <a:t>Reference Price at </a:t>
          </a:r>
          <a:r>
            <a:rPr lang="en-US" dirty="0" err="1">
              <a:latin typeface="Times New Roman" panose="02020603050405020304" pitchFamily="18" charset="0"/>
              <a:cs typeface="Times New Roman" panose="02020603050405020304" pitchFamily="18" charset="0"/>
            </a:rPr>
            <a:t>Farmgate</a:t>
          </a:r>
          <a:endParaRPr lang="en-US" dirty="0">
            <a:latin typeface="Times New Roman" panose="02020603050405020304" pitchFamily="18" charset="0"/>
            <a:cs typeface="Times New Roman" panose="02020603050405020304" pitchFamily="18" charset="0"/>
          </a:endParaRPr>
        </a:p>
      </dgm:t>
    </dgm:pt>
    <dgm:pt modelId="{95693986-55DA-4551-BE7B-873600571BE5}" type="parTrans" cxnId="{A2D0FC61-8E59-43E9-825F-6FE64AB8AA23}">
      <dgm:prSet/>
      <dgm:spPr/>
      <dgm:t>
        <a:bodyPr/>
        <a:lstStyle/>
        <a:p>
          <a:endParaRPr lang="en-US"/>
        </a:p>
      </dgm:t>
    </dgm:pt>
    <dgm:pt modelId="{DF2FFB91-17EC-419B-A180-9B9F3783CEC2}" type="sibTrans" cxnId="{A2D0FC61-8E59-43E9-825F-6FE64AB8AA23}">
      <dgm:prSet/>
      <dgm:spPr/>
      <dgm:t>
        <a:bodyPr/>
        <a:lstStyle/>
        <a:p>
          <a:endParaRPr lang="en-US"/>
        </a:p>
      </dgm:t>
    </dgm:pt>
    <dgm:pt modelId="{EA04E824-CE3B-4FF4-8DAC-E3D71B92B35B}" type="pres">
      <dgm:prSet presAssocID="{8B64069C-4B5A-4A9A-BB74-11ED13385C59}" presName="Name0" presStyleCnt="0">
        <dgm:presLayoutVars>
          <dgm:dir/>
          <dgm:animLvl val="lvl"/>
          <dgm:resizeHandles val="exact"/>
        </dgm:presLayoutVars>
      </dgm:prSet>
      <dgm:spPr/>
    </dgm:pt>
    <dgm:pt modelId="{B59E8EE2-3BC0-463E-A7EB-BF842496E195}" type="pres">
      <dgm:prSet presAssocID="{8B64069C-4B5A-4A9A-BB74-11ED13385C59}" presName="tSp" presStyleCnt="0"/>
      <dgm:spPr/>
    </dgm:pt>
    <dgm:pt modelId="{51D54CBC-D151-490E-9376-1C09F65411EB}" type="pres">
      <dgm:prSet presAssocID="{8B64069C-4B5A-4A9A-BB74-11ED13385C59}" presName="bSp" presStyleCnt="0"/>
      <dgm:spPr/>
    </dgm:pt>
    <dgm:pt modelId="{C4B908AE-470C-4427-9C1A-702836310265}" type="pres">
      <dgm:prSet presAssocID="{8B64069C-4B5A-4A9A-BB74-11ED13385C59}" presName="process" presStyleCnt="0"/>
      <dgm:spPr/>
    </dgm:pt>
    <dgm:pt modelId="{C747EDC3-ADE9-43D1-83B1-C88D8490A483}" type="pres">
      <dgm:prSet presAssocID="{B4ABC1F3-DD0C-4840-BE6D-E94F3C86E153}" presName="composite1" presStyleCnt="0"/>
      <dgm:spPr/>
    </dgm:pt>
    <dgm:pt modelId="{59AE4320-9F67-42B2-A106-BB73C3B356C0}" type="pres">
      <dgm:prSet presAssocID="{B4ABC1F3-DD0C-4840-BE6D-E94F3C86E153}" presName="dummyNode1" presStyleLbl="node1" presStyleIdx="0" presStyleCnt="4"/>
      <dgm:spPr/>
    </dgm:pt>
    <dgm:pt modelId="{BB70996A-DD95-4A0C-A85D-53339F9BFA00}" type="pres">
      <dgm:prSet presAssocID="{B4ABC1F3-DD0C-4840-BE6D-E94F3C86E153}" presName="childNode1" presStyleLbl="bgAcc1" presStyleIdx="0" presStyleCnt="4" custFlipVert="1" custScaleX="4714" custScaleY="2281" custLinFactNeighborX="26954" custLinFactNeighborY="54627">
        <dgm:presLayoutVars>
          <dgm:bulletEnabled val="1"/>
        </dgm:presLayoutVars>
      </dgm:prSet>
      <dgm:spPr/>
    </dgm:pt>
    <dgm:pt modelId="{388541D7-EA89-480C-88AB-ADCACAD13156}" type="pres">
      <dgm:prSet presAssocID="{B4ABC1F3-DD0C-4840-BE6D-E94F3C86E153}" presName="childNode1tx" presStyleLbl="bgAcc1" presStyleIdx="0" presStyleCnt="4">
        <dgm:presLayoutVars>
          <dgm:bulletEnabled val="1"/>
        </dgm:presLayoutVars>
      </dgm:prSet>
      <dgm:spPr/>
    </dgm:pt>
    <dgm:pt modelId="{E3C88576-F31A-46F4-924B-F846D51BB491}" type="pres">
      <dgm:prSet presAssocID="{B4ABC1F3-DD0C-4840-BE6D-E94F3C86E153}" presName="parentNode1" presStyleLbl="node1" presStyleIdx="0" presStyleCnt="4" custLinFactNeighborX="-25135">
        <dgm:presLayoutVars>
          <dgm:chMax val="1"/>
          <dgm:bulletEnabled val="1"/>
        </dgm:presLayoutVars>
      </dgm:prSet>
      <dgm:spPr/>
    </dgm:pt>
    <dgm:pt modelId="{71FC4146-5B04-4189-A828-AFBA23CC22B0}" type="pres">
      <dgm:prSet presAssocID="{B4ABC1F3-DD0C-4840-BE6D-E94F3C86E153}" presName="connSite1" presStyleCnt="0"/>
      <dgm:spPr/>
    </dgm:pt>
    <dgm:pt modelId="{4D3044D3-0173-4BEC-A24A-A139009DF82E}" type="pres">
      <dgm:prSet presAssocID="{B2630865-87F2-489B-8047-F220DD61016A}" presName="Name9" presStyleLbl="sibTrans2D1" presStyleIdx="0" presStyleCnt="3"/>
      <dgm:spPr/>
    </dgm:pt>
    <dgm:pt modelId="{DD0CF9E4-679C-47EB-8A9E-009A4AB7733A}" type="pres">
      <dgm:prSet presAssocID="{0245B92C-539E-4A11-9D8D-705195FFFBC2}" presName="composite2" presStyleCnt="0"/>
      <dgm:spPr/>
    </dgm:pt>
    <dgm:pt modelId="{F633BD27-2CD8-4B3B-A07B-1FE35996E2E8}" type="pres">
      <dgm:prSet presAssocID="{0245B92C-539E-4A11-9D8D-705195FFFBC2}" presName="dummyNode2" presStyleLbl="node1" presStyleIdx="0" presStyleCnt="4"/>
      <dgm:spPr/>
    </dgm:pt>
    <dgm:pt modelId="{766D598B-451E-4E9B-BB14-FDF3558A3DC4}" type="pres">
      <dgm:prSet presAssocID="{0245B92C-539E-4A11-9D8D-705195FFFBC2}" presName="childNode2" presStyleLbl="bgAcc1" presStyleIdx="1" presStyleCnt="4" custLinFactNeighborX="-22342">
        <dgm:presLayoutVars>
          <dgm:bulletEnabled val="1"/>
        </dgm:presLayoutVars>
      </dgm:prSet>
      <dgm:spPr/>
    </dgm:pt>
    <dgm:pt modelId="{E8D54A5F-20A1-4F5C-BFA0-40BE17BF1BE6}" type="pres">
      <dgm:prSet presAssocID="{0245B92C-539E-4A11-9D8D-705195FFFBC2}" presName="childNode2tx" presStyleLbl="bgAcc1" presStyleIdx="1" presStyleCnt="4">
        <dgm:presLayoutVars>
          <dgm:bulletEnabled val="1"/>
        </dgm:presLayoutVars>
      </dgm:prSet>
      <dgm:spPr/>
    </dgm:pt>
    <dgm:pt modelId="{CCB8110E-DE4A-48B4-9E05-322574BAE99B}" type="pres">
      <dgm:prSet presAssocID="{0245B92C-539E-4A11-9D8D-705195FFFBC2}" presName="parentNode2" presStyleLbl="node1" presStyleIdx="1" presStyleCnt="4" custLinFactNeighborX="-25135">
        <dgm:presLayoutVars>
          <dgm:chMax val="0"/>
          <dgm:bulletEnabled val="1"/>
        </dgm:presLayoutVars>
      </dgm:prSet>
      <dgm:spPr/>
    </dgm:pt>
    <dgm:pt modelId="{B69D0FF2-5B02-41D0-A899-918D860E6AD4}" type="pres">
      <dgm:prSet presAssocID="{0245B92C-539E-4A11-9D8D-705195FFFBC2}" presName="connSite2" presStyleCnt="0"/>
      <dgm:spPr/>
    </dgm:pt>
    <dgm:pt modelId="{55ACFC82-5524-49E2-8F7F-E08E3F26DFC6}" type="pres">
      <dgm:prSet presAssocID="{B90CE424-FA9C-4BE9-9AC3-24CB71DFFBC3}" presName="Name18" presStyleLbl="sibTrans2D1" presStyleIdx="1" presStyleCnt="3"/>
      <dgm:spPr/>
    </dgm:pt>
    <dgm:pt modelId="{C61E0CDC-151C-4446-A1E5-1681B93DDB29}" type="pres">
      <dgm:prSet presAssocID="{2A05D704-84AC-4F0C-96C9-71EC91D540D4}" presName="composite1" presStyleCnt="0"/>
      <dgm:spPr/>
    </dgm:pt>
    <dgm:pt modelId="{2AC8EEB9-739D-4BCC-8F40-01EB7DFC1C3F}" type="pres">
      <dgm:prSet presAssocID="{2A05D704-84AC-4F0C-96C9-71EC91D540D4}" presName="dummyNode1" presStyleLbl="node1" presStyleIdx="1" presStyleCnt="4"/>
      <dgm:spPr/>
    </dgm:pt>
    <dgm:pt modelId="{951E10BF-458B-49AC-8C5B-70754B154197}" type="pres">
      <dgm:prSet presAssocID="{2A05D704-84AC-4F0C-96C9-71EC91D540D4}" presName="childNode1" presStyleLbl="bgAcc1" presStyleIdx="2" presStyleCnt="4" custLinFactNeighborX="-22342">
        <dgm:presLayoutVars>
          <dgm:bulletEnabled val="1"/>
        </dgm:presLayoutVars>
      </dgm:prSet>
      <dgm:spPr/>
    </dgm:pt>
    <dgm:pt modelId="{AA35620B-806D-4B42-9B15-F2B3F3AE9950}" type="pres">
      <dgm:prSet presAssocID="{2A05D704-84AC-4F0C-96C9-71EC91D540D4}" presName="childNode1tx" presStyleLbl="bgAcc1" presStyleIdx="2" presStyleCnt="4">
        <dgm:presLayoutVars>
          <dgm:bulletEnabled val="1"/>
        </dgm:presLayoutVars>
      </dgm:prSet>
      <dgm:spPr/>
    </dgm:pt>
    <dgm:pt modelId="{F620E50F-847A-4B77-B983-44CA7B0C6814}" type="pres">
      <dgm:prSet presAssocID="{2A05D704-84AC-4F0C-96C9-71EC91D540D4}" presName="parentNode1" presStyleLbl="node1" presStyleIdx="2" presStyleCnt="4" custLinFactNeighborX="-25135">
        <dgm:presLayoutVars>
          <dgm:chMax val="1"/>
          <dgm:bulletEnabled val="1"/>
        </dgm:presLayoutVars>
      </dgm:prSet>
      <dgm:spPr/>
    </dgm:pt>
    <dgm:pt modelId="{F97AB1C6-A7C5-473A-8C52-8C2075898A1B}" type="pres">
      <dgm:prSet presAssocID="{2A05D704-84AC-4F0C-96C9-71EC91D540D4}" presName="connSite1" presStyleCnt="0"/>
      <dgm:spPr/>
    </dgm:pt>
    <dgm:pt modelId="{DC5CE88C-3413-44F9-99A6-007851173B09}" type="pres">
      <dgm:prSet presAssocID="{9570E151-C975-4D52-ADD8-460933602289}" presName="Name9" presStyleLbl="sibTrans2D1" presStyleIdx="2" presStyleCnt="3"/>
      <dgm:spPr/>
    </dgm:pt>
    <dgm:pt modelId="{3D07D987-EB05-4B46-8909-96648EDFACFF}" type="pres">
      <dgm:prSet presAssocID="{BB9C7C9D-B90D-4927-A564-857C9B8A64A6}" presName="composite2" presStyleCnt="0"/>
      <dgm:spPr/>
    </dgm:pt>
    <dgm:pt modelId="{97F5D44D-694F-43C1-B167-CBE64776020C}" type="pres">
      <dgm:prSet presAssocID="{BB9C7C9D-B90D-4927-A564-857C9B8A64A6}" presName="dummyNode2" presStyleLbl="node1" presStyleIdx="2" presStyleCnt="4"/>
      <dgm:spPr/>
    </dgm:pt>
    <dgm:pt modelId="{486590C0-1BC0-4BCA-9963-9216B1596900}" type="pres">
      <dgm:prSet presAssocID="{BB9C7C9D-B90D-4927-A564-857C9B8A64A6}" presName="childNode2" presStyleLbl="bgAcc1" presStyleIdx="3" presStyleCnt="4">
        <dgm:presLayoutVars>
          <dgm:bulletEnabled val="1"/>
        </dgm:presLayoutVars>
      </dgm:prSet>
      <dgm:spPr/>
    </dgm:pt>
    <dgm:pt modelId="{5723517B-0713-4F79-9834-5F9A99752A28}" type="pres">
      <dgm:prSet presAssocID="{BB9C7C9D-B90D-4927-A564-857C9B8A64A6}" presName="childNode2tx" presStyleLbl="bgAcc1" presStyleIdx="3" presStyleCnt="4">
        <dgm:presLayoutVars>
          <dgm:bulletEnabled val="1"/>
        </dgm:presLayoutVars>
      </dgm:prSet>
      <dgm:spPr/>
    </dgm:pt>
    <dgm:pt modelId="{2340D7FF-11D3-42BE-BCC5-7E8BB0EFDA90}" type="pres">
      <dgm:prSet presAssocID="{BB9C7C9D-B90D-4927-A564-857C9B8A64A6}" presName="parentNode2" presStyleLbl="node1" presStyleIdx="3" presStyleCnt="4">
        <dgm:presLayoutVars>
          <dgm:chMax val="0"/>
          <dgm:bulletEnabled val="1"/>
        </dgm:presLayoutVars>
      </dgm:prSet>
      <dgm:spPr/>
    </dgm:pt>
    <dgm:pt modelId="{08566102-EFEE-4E64-9F4F-7566E04682CD}" type="pres">
      <dgm:prSet presAssocID="{BB9C7C9D-B90D-4927-A564-857C9B8A64A6}" presName="connSite2" presStyleCnt="0"/>
      <dgm:spPr/>
    </dgm:pt>
  </dgm:ptLst>
  <dgm:cxnLst>
    <dgm:cxn modelId="{C5325604-36C3-4CF3-BC4E-7761FCA3CFF3}" type="presOf" srcId="{0245B92C-539E-4A11-9D8D-705195FFFBC2}" destId="{CCB8110E-DE4A-48B4-9E05-322574BAE99B}" srcOrd="0" destOrd="0" presId="urn:microsoft.com/office/officeart/2005/8/layout/hProcess4"/>
    <dgm:cxn modelId="{E6716608-DB60-4622-BE06-48C8DF34C71E}" type="presOf" srcId="{28034907-F0F4-4508-88E3-36189B5D745A}" destId="{951E10BF-458B-49AC-8C5B-70754B154197}" srcOrd="0" destOrd="2" presId="urn:microsoft.com/office/officeart/2005/8/layout/hProcess4"/>
    <dgm:cxn modelId="{1C44431A-6CCB-4ACC-BD6D-5B45E58DFB58}" type="presOf" srcId="{4EE6790F-AFDD-4E49-8639-9145404544C6}" destId="{5723517B-0713-4F79-9834-5F9A99752A28}" srcOrd="1" destOrd="2" presId="urn:microsoft.com/office/officeart/2005/8/layout/hProcess4"/>
    <dgm:cxn modelId="{9C112B1D-AF44-442F-AA28-BAACFBFB26F2}" type="presOf" srcId="{27F081D1-C251-4A70-A700-5FDD48C52D10}" destId="{5723517B-0713-4F79-9834-5F9A99752A28}" srcOrd="1" destOrd="1" presId="urn:microsoft.com/office/officeart/2005/8/layout/hProcess4"/>
    <dgm:cxn modelId="{4CD6291F-25A1-4192-84BB-AC186555429B}" srcId="{0245B92C-539E-4A11-9D8D-705195FFFBC2}" destId="{AD317970-CDC8-4F55-A70F-182DCC532818}" srcOrd="0" destOrd="0" parTransId="{FF16442E-E4EE-43BB-AB14-2B7DB85277EF}" sibTransId="{E6DE486F-828D-45D0-B3AB-C2E53D702700}"/>
    <dgm:cxn modelId="{15FDA124-149D-4143-AD74-D4B73B5354B3}" type="presOf" srcId="{AD317970-CDC8-4F55-A70F-182DCC532818}" destId="{E8D54A5F-20A1-4F5C-BFA0-40BE17BF1BE6}" srcOrd="1" destOrd="0" presId="urn:microsoft.com/office/officeart/2005/8/layout/hProcess4"/>
    <dgm:cxn modelId="{1526B825-7DAB-427E-AEBA-E42F4E5C2D9E}" srcId="{2A05D704-84AC-4F0C-96C9-71EC91D540D4}" destId="{539FDF51-04B2-4B12-AEF0-5141FEEA3820}" srcOrd="1" destOrd="0" parTransId="{27B43DB8-F41A-455D-856D-FB9249F95C03}" sibTransId="{A80B1D1C-8A15-49A5-99B3-B5947A76E96F}"/>
    <dgm:cxn modelId="{7420E42F-5551-49E5-B1CC-37259ADB6687}" type="presOf" srcId="{CB252E2A-FEF1-448F-9B96-349E12BAB1F1}" destId="{AA35620B-806D-4B42-9B15-F2B3F3AE9950}" srcOrd="1" destOrd="3" presId="urn:microsoft.com/office/officeart/2005/8/layout/hProcess4"/>
    <dgm:cxn modelId="{7B0B8E37-94CD-48DF-967A-B4D2654CB9BA}" type="presOf" srcId="{18F21B7C-96FB-4DAA-A476-1FD8ACE52DA5}" destId="{486590C0-1BC0-4BCA-9963-9216B1596900}" srcOrd="0" destOrd="4" presId="urn:microsoft.com/office/officeart/2005/8/layout/hProcess4"/>
    <dgm:cxn modelId="{5A272038-167E-4AEB-9FD1-6720B341E9A2}" srcId="{BB9C7C9D-B90D-4927-A564-857C9B8A64A6}" destId="{4EE6790F-AFDD-4E49-8639-9145404544C6}" srcOrd="2" destOrd="0" parTransId="{915AEBCE-A39E-45C4-A009-1511FD0DD122}" sibTransId="{D0A4C849-793C-448A-BD54-FD25BD8F58B2}"/>
    <dgm:cxn modelId="{8809CF3A-5D20-4C80-BF61-A2DA100D475C}" type="presOf" srcId="{539FDF51-04B2-4B12-AEF0-5141FEEA3820}" destId="{AA35620B-806D-4B42-9B15-F2B3F3AE9950}" srcOrd="1" destOrd="1" presId="urn:microsoft.com/office/officeart/2005/8/layout/hProcess4"/>
    <dgm:cxn modelId="{936AD13A-B13D-4F54-A31B-6FE4325ABCF4}" type="presOf" srcId="{B35B8748-D0FD-4B50-A38D-2C58974B07B2}" destId="{766D598B-451E-4E9B-BB14-FDF3558A3DC4}" srcOrd="0" destOrd="2" presId="urn:microsoft.com/office/officeart/2005/8/layout/hProcess4"/>
    <dgm:cxn modelId="{3ED7935D-8F8F-4D35-A9A6-9D4F67901E11}" srcId="{BB9C7C9D-B90D-4927-A564-857C9B8A64A6}" destId="{27F081D1-C251-4A70-A700-5FDD48C52D10}" srcOrd="1" destOrd="0" parTransId="{DD75B1D5-3E36-4B4D-9C59-1CF89427438B}" sibTransId="{A6AB80F0-457D-4814-8B5B-BD71B4D9F07C}"/>
    <dgm:cxn modelId="{A2D0FC61-8E59-43E9-825F-6FE64AB8AA23}" srcId="{8B64069C-4B5A-4A9A-BB74-11ED13385C59}" destId="{BB9C7C9D-B90D-4927-A564-857C9B8A64A6}" srcOrd="3" destOrd="0" parTransId="{95693986-55DA-4551-BE7B-873600571BE5}" sibTransId="{DF2FFB91-17EC-419B-A180-9B9F3783CEC2}"/>
    <dgm:cxn modelId="{D257FB63-6697-404D-93B6-CCB7D760694C}" srcId="{BB9C7C9D-B90D-4927-A564-857C9B8A64A6}" destId="{18F21B7C-96FB-4DAA-A476-1FD8ACE52DA5}" srcOrd="4" destOrd="0" parTransId="{AD80DC36-B14C-4042-86F2-CA462AF9D86E}" sibTransId="{07180DB3-1F30-49B0-AB01-B96BBAB77509}"/>
    <dgm:cxn modelId="{984FEE64-ED68-4F21-8C71-64F04BD1CBEA}" type="presOf" srcId="{A70FA230-3AAF-4681-9F3F-9397BF812612}" destId="{5723517B-0713-4F79-9834-5F9A99752A28}" srcOrd="1" destOrd="0" presId="urn:microsoft.com/office/officeart/2005/8/layout/hProcess4"/>
    <dgm:cxn modelId="{C4CA8E65-8D03-4B5B-A4D9-2D41D11B194A}" srcId="{BB9C7C9D-B90D-4927-A564-857C9B8A64A6}" destId="{A70FA230-3AAF-4681-9F3F-9397BF812612}" srcOrd="0" destOrd="0" parTransId="{D8A8A868-D3A2-4FA9-B396-63073B78E937}" sibTransId="{95437946-710B-41A6-AA2F-506F61DFABAC}"/>
    <dgm:cxn modelId="{F70DC466-A148-4E05-8D7A-BA6E17646376}" type="presOf" srcId="{A70FA230-3AAF-4681-9F3F-9397BF812612}" destId="{486590C0-1BC0-4BCA-9963-9216B1596900}" srcOrd="0" destOrd="0" presId="urn:microsoft.com/office/officeart/2005/8/layout/hProcess4"/>
    <dgm:cxn modelId="{88C2A848-98FB-48C9-9702-C1F95FB541F2}" type="presOf" srcId="{B35B8748-D0FD-4B50-A38D-2C58974B07B2}" destId="{E8D54A5F-20A1-4F5C-BFA0-40BE17BF1BE6}" srcOrd="1" destOrd="2" presId="urn:microsoft.com/office/officeart/2005/8/layout/hProcess4"/>
    <dgm:cxn modelId="{DAFE7E69-2A4E-452A-97E7-74C9CD9C8236}" type="presOf" srcId="{45D2F980-CE00-489F-B567-E63BFFEBC702}" destId="{486590C0-1BC0-4BCA-9963-9216B1596900}" srcOrd="0" destOrd="3" presId="urn:microsoft.com/office/officeart/2005/8/layout/hProcess4"/>
    <dgm:cxn modelId="{E723744E-B904-44DA-AFA7-4A8AC05D0C85}" type="presOf" srcId="{18F21B7C-96FB-4DAA-A476-1FD8ACE52DA5}" destId="{5723517B-0713-4F79-9834-5F9A99752A28}" srcOrd="1" destOrd="4" presId="urn:microsoft.com/office/officeart/2005/8/layout/hProcess4"/>
    <dgm:cxn modelId="{2C804570-CFE5-41CB-B39F-9A3DF4E6A9AA}" type="presOf" srcId="{9570E151-C975-4D52-ADD8-460933602289}" destId="{DC5CE88C-3413-44F9-99A6-007851173B09}" srcOrd="0" destOrd="0" presId="urn:microsoft.com/office/officeart/2005/8/layout/hProcess4"/>
    <dgm:cxn modelId="{C6AC6272-9B93-4582-87A8-A89ECC3448B1}" srcId="{2A05D704-84AC-4F0C-96C9-71EC91D540D4}" destId="{AD247E88-9233-45D3-9BAF-C98E058C4D5A}" srcOrd="0" destOrd="0" parTransId="{7FACD40D-FDDD-4B29-AF3D-49458C2105DA}" sibTransId="{FBA2F636-0FE8-4CA4-9A8E-07E3DE67FDD2}"/>
    <dgm:cxn modelId="{F7070074-00D8-4148-A27D-2108FA53343B}" type="presOf" srcId="{AD247E88-9233-45D3-9BAF-C98E058C4D5A}" destId="{AA35620B-806D-4B42-9B15-F2B3F3AE9950}" srcOrd="1" destOrd="0" presId="urn:microsoft.com/office/officeart/2005/8/layout/hProcess4"/>
    <dgm:cxn modelId="{79D9FD54-708B-419C-A7A1-95853288DCE2}" srcId="{0245B92C-539E-4A11-9D8D-705195FFFBC2}" destId="{B35B8748-D0FD-4B50-A38D-2C58974B07B2}" srcOrd="2" destOrd="0" parTransId="{3E5E39E2-B4EC-49B8-A92E-6C67A9E7AB46}" sibTransId="{FBB8E361-62A6-4211-9A69-D9BCFB3BD56B}"/>
    <dgm:cxn modelId="{B47DAB57-34EC-4E62-8C2C-1FDFBF4A02D1}" type="presOf" srcId="{EBA27591-2CA6-4732-9D21-BECD98B521C5}" destId="{E8D54A5F-20A1-4F5C-BFA0-40BE17BF1BE6}" srcOrd="1" destOrd="1" presId="urn:microsoft.com/office/officeart/2005/8/layout/hProcess4"/>
    <dgm:cxn modelId="{35E1987C-786A-40D7-9D49-18A4A13029A5}" srcId="{BB9C7C9D-B90D-4927-A564-857C9B8A64A6}" destId="{45D2F980-CE00-489F-B567-E63BFFEBC702}" srcOrd="3" destOrd="0" parTransId="{A972586C-45E9-41FB-BDB7-FE321FAD3B1B}" sibTransId="{2E6800A1-2C5C-4BE0-BE04-E4EE23049842}"/>
    <dgm:cxn modelId="{F5CAF97F-0CAE-49BF-B459-5F0882C39A1D}" type="presOf" srcId="{8B64069C-4B5A-4A9A-BB74-11ED13385C59}" destId="{EA04E824-CE3B-4FF4-8DAC-E3D71B92B35B}" srcOrd="0" destOrd="0" presId="urn:microsoft.com/office/officeart/2005/8/layout/hProcess4"/>
    <dgm:cxn modelId="{5362539A-B1F2-4172-BF31-898635ACD7BB}" type="presOf" srcId="{45D2F980-CE00-489F-B567-E63BFFEBC702}" destId="{5723517B-0713-4F79-9834-5F9A99752A28}" srcOrd="1" destOrd="3" presId="urn:microsoft.com/office/officeart/2005/8/layout/hProcess4"/>
    <dgm:cxn modelId="{9F5A8DA5-72CF-487F-930D-EC9D86F74AD2}" type="presOf" srcId="{EBA27591-2CA6-4732-9D21-BECD98B521C5}" destId="{766D598B-451E-4E9B-BB14-FDF3558A3DC4}" srcOrd="0" destOrd="1" presId="urn:microsoft.com/office/officeart/2005/8/layout/hProcess4"/>
    <dgm:cxn modelId="{DEBCECA9-B520-4FCC-AFD4-064DBC784725}" type="presOf" srcId="{BB9C7C9D-B90D-4927-A564-857C9B8A64A6}" destId="{2340D7FF-11D3-42BE-BCC5-7E8BB0EFDA90}" srcOrd="0" destOrd="0" presId="urn:microsoft.com/office/officeart/2005/8/layout/hProcess4"/>
    <dgm:cxn modelId="{B910A1B9-9AC7-45BA-B97B-A386F6F6613F}" type="presOf" srcId="{27F081D1-C251-4A70-A700-5FDD48C52D10}" destId="{486590C0-1BC0-4BCA-9963-9216B1596900}" srcOrd="0" destOrd="1" presId="urn:microsoft.com/office/officeart/2005/8/layout/hProcess4"/>
    <dgm:cxn modelId="{1C8B83C2-2D63-41A9-897E-32D5756D302F}" srcId="{8B64069C-4B5A-4A9A-BB74-11ED13385C59}" destId="{2A05D704-84AC-4F0C-96C9-71EC91D540D4}" srcOrd="2" destOrd="0" parTransId="{D4362923-14FB-403F-AF3E-7B2552970CCA}" sibTransId="{9570E151-C975-4D52-ADD8-460933602289}"/>
    <dgm:cxn modelId="{8A163FC9-044E-4DD9-BDE3-72E8AFFC92E6}" type="presOf" srcId="{B90CE424-FA9C-4BE9-9AC3-24CB71DFFBC3}" destId="{55ACFC82-5524-49E2-8F7F-E08E3F26DFC6}" srcOrd="0" destOrd="0" presId="urn:microsoft.com/office/officeart/2005/8/layout/hProcess4"/>
    <dgm:cxn modelId="{E87233CC-6542-4C9D-9591-B387E1B58399}" type="presOf" srcId="{58FB80D3-BC9C-486D-A9E4-0744DB826899}" destId="{951E10BF-458B-49AC-8C5B-70754B154197}" srcOrd="0" destOrd="4" presId="urn:microsoft.com/office/officeart/2005/8/layout/hProcess4"/>
    <dgm:cxn modelId="{B3FBC4D4-A4FB-4A33-87ED-66A9DB85AD0E}" type="presOf" srcId="{4EE6790F-AFDD-4E49-8639-9145404544C6}" destId="{486590C0-1BC0-4BCA-9963-9216B1596900}" srcOrd="0" destOrd="2" presId="urn:microsoft.com/office/officeart/2005/8/layout/hProcess4"/>
    <dgm:cxn modelId="{CA0360D9-953F-4576-A631-DCECFC6950C2}" type="presOf" srcId="{AD317970-CDC8-4F55-A70F-182DCC532818}" destId="{766D598B-451E-4E9B-BB14-FDF3558A3DC4}" srcOrd="0" destOrd="0" presId="urn:microsoft.com/office/officeart/2005/8/layout/hProcess4"/>
    <dgm:cxn modelId="{81F04FD9-613A-4697-93DE-3DFD75A09951}" srcId="{0245B92C-539E-4A11-9D8D-705195FFFBC2}" destId="{EBA27591-2CA6-4732-9D21-BECD98B521C5}" srcOrd="1" destOrd="0" parTransId="{0875C7B4-3B02-41B9-8447-82601A93A28A}" sibTransId="{3A377165-4F9B-4047-9C9F-3BB4FE37EA7F}"/>
    <dgm:cxn modelId="{886D5FE0-9D40-4BDA-8CFA-E3F06A488465}" type="presOf" srcId="{B2630865-87F2-489B-8047-F220DD61016A}" destId="{4D3044D3-0173-4BEC-A24A-A139009DF82E}" srcOrd="0" destOrd="0" presId="urn:microsoft.com/office/officeart/2005/8/layout/hProcess4"/>
    <dgm:cxn modelId="{EA3083E1-F721-4C70-AB4C-C817DB219944}" srcId="{8B64069C-4B5A-4A9A-BB74-11ED13385C59}" destId="{0245B92C-539E-4A11-9D8D-705195FFFBC2}" srcOrd="1" destOrd="0" parTransId="{908D5B23-0261-445F-8102-5AEB1C9583A1}" sibTransId="{B90CE424-FA9C-4BE9-9AC3-24CB71DFFBC3}"/>
    <dgm:cxn modelId="{126C59E2-3CF8-4754-A914-F2C94B08404E}" type="presOf" srcId="{539FDF51-04B2-4B12-AEF0-5141FEEA3820}" destId="{951E10BF-458B-49AC-8C5B-70754B154197}" srcOrd="0" destOrd="1" presId="urn:microsoft.com/office/officeart/2005/8/layout/hProcess4"/>
    <dgm:cxn modelId="{8CF2F8E2-4126-4A6D-AA04-3D4CEE6EE097}" srcId="{8B64069C-4B5A-4A9A-BB74-11ED13385C59}" destId="{B4ABC1F3-DD0C-4840-BE6D-E94F3C86E153}" srcOrd="0" destOrd="0" parTransId="{2CEFAF10-F7EA-4EB8-8EB1-674C34386D89}" sibTransId="{B2630865-87F2-489B-8047-F220DD61016A}"/>
    <dgm:cxn modelId="{D61BF5E4-A72D-46DA-99B0-29817CCBC4FB}" type="presOf" srcId="{28034907-F0F4-4508-88E3-36189B5D745A}" destId="{AA35620B-806D-4B42-9B15-F2B3F3AE9950}" srcOrd="1" destOrd="2" presId="urn:microsoft.com/office/officeart/2005/8/layout/hProcess4"/>
    <dgm:cxn modelId="{F70835EA-578F-428E-B762-80B20D28350E}" type="presOf" srcId="{B4ABC1F3-DD0C-4840-BE6D-E94F3C86E153}" destId="{E3C88576-F31A-46F4-924B-F846D51BB491}" srcOrd="0" destOrd="0" presId="urn:microsoft.com/office/officeart/2005/8/layout/hProcess4"/>
    <dgm:cxn modelId="{2919A2F2-DEBF-469E-8895-C54BAE0CCFC8}" srcId="{2A05D704-84AC-4F0C-96C9-71EC91D540D4}" destId="{28034907-F0F4-4508-88E3-36189B5D745A}" srcOrd="2" destOrd="0" parTransId="{7C96E50A-4DD3-4024-944B-785BC3153E6A}" sibTransId="{051EFF57-F9F8-45C0-A293-BDDD68C7F527}"/>
    <dgm:cxn modelId="{67337EF5-572D-4224-A453-21F97E1CD4F9}" type="presOf" srcId="{AD247E88-9233-45D3-9BAF-C98E058C4D5A}" destId="{951E10BF-458B-49AC-8C5B-70754B154197}" srcOrd="0" destOrd="0" presId="urn:microsoft.com/office/officeart/2005/8/layout/hProcess4"/>
    <dgm:cxn modelId="{7510A2F5-5BC9-4D99-B784-76DFDFAFE5FE}" type="presOf" srcId="{CB252E2A-FEF1-448F-9B96-349E12BAB1F1}" destId="{951E10BF-458B-49AC-8C5B-70754B154197}" srcOrd="0" destOrd="3" presId="urn:microsoft.com/office/officeart/2005/8/layout/hProcess4"/>
    <dgm:cxn modelId="{B12ED0F5-9D7A-4F31-904B-B3BDB1AAA0A2}" srcId="{2A05D704-84AC-4F0C-96C9-71EC91D540D4}" destId="{58FB80D3-BC9C-486D-A9E4-0744DB826899}" srcOrd="4" destOrd="0" parTransId="{80312C6A-55B2-4F04-AA70-C1E1E4A95EA7}" sibTransId="{9E2CC60D-0925-41E9-BF0A-B52D4E485D67}"/>
    <dgm:cxn modelId="{441EF9F7-C3A0-49C9-88D9-8A71BF505B55}" type="presOf" srcId="{2A05D704-84AC-4F0C-96C9-71EC91D540D4}" destId="{F620E50F-847A-4B77-B983-44CA7B0C6814}" srcOrd="0" destOrd="0" presId="urn:microsoft.com/office/officeart/2005/8/layout/hProcess4"/>
    <dgm:cxn modelId="{0F0070F8-C71C-4876-8517-3C05F314A062}" type="presOf" srcId="{58FB80D3-BC9C-486D-A9E4-0744DB826899}" destId="{AA35620B-806D-4B42-9B15-F2B3F3AE9950}" srcOrd="1" destOrd="4" presId="urn:microsoft.com/office/officeart/2005/8/layout/hProcess4"/>
    <dgm:cxn modelId="{60CC2CFB-00DA-4E00-8DC8-4B8B3AD2D936}" srcId="{2A05D704-84AC-4F0C-96C9-71EC91D540D4}" destId="{CB252E2A-FEF1-448F-9B96-349E12BAB1F1}" srcOrd="3" destOrd="0" parTransId="{D8E31D7E-09A4-498A-8FE2-CC7A65A46148}" sibTransId="{B6852C79-A09F-450D-9DC8-1872C903555C}"/>
    <dgm:cxn modelId="{F2F765DC-7E6C-48FF-9CF4-11B76AB88CF5}" type="presParOf" srcId="{EA04E824-CE3B-4FF4-8DAC-E3D71B92B35B}" destId="{B59E8EE2-3BC0-463E-A7EB-BF842496E195}" srcOrd="0" destOrd="0" presId="urn:microsoft.com/office/officeart/2005/8/layout/hProcess4"/>
    <dgm:cxn modelId="{6D0F36FE-B09D-4EBC-993A-3BC436EA73F9}" type="presParOf" srcId="{EA04E824-CE3B-4FF4-8DAC-E3D71B92B35B}" destId="{51D54CBC-D151-490E-9376-1C09F65411EB}" srcOrd="1" destOrd="0" presId="urn:microsoft.com/office/officeart/2005/8/layout/hProcess4"/>
    <dgm:cxn modelId="{923FE34B-1D32-4D9B-AA2E-53052282D3EC}" type="presParOf" srcId="{EA04E824-CE3B-4FF4-8DAC-E3D71B92B35B}" destId="{C4B908AE-470C-4427-9C1A-702836310265}" srcOrd="2" destOrd="0" presId="urn:microsoft.com/office/officeart/2005/8/layout/hProcess4"/>
    <dgm:cxn modelId="{E59C9B13-93F9-45D8-8155-96797337AC7D}" type="presParOf" srcId="{C4B908AE-470C-4427-9C1A-702836310265}" destId="{C747EDC3-ADE9-43D1-83B1-C88D8490A483}" srcOrd="0" destOrd="0" presId="urn:microsoft.com/office/officeart/2005/8/layout/hProcess4"/>
    <dgm:cxn modelId="{56DCB50F-FB1A-402B-BACC-7C392707816F}" type="presParOf" srcId="{C747EDC3-ADE9-43D1-83B1-C88D8490A483}" destId="{59AE4320-9F67-42B2-A106-BB73C3B356C0}" srcOrd="0" destOrd="0" presId="urn:microsoft.com/office/officeart/2005/8/layout/hProcess4"/>
    <dgm:cxn modelId="{EB6FCF11-C2A3-470F-9D3D-DA6F2C210FBF}" type="presParOf" srcId="{C747EDC3-ADE9-43D1-83B1-C88D8490A483}" destId="{BB70996A-DD95-4A0C-A85D-53339F9BFA00}" srcOrd="1" destOrd="0" presId="urn:microsoft.com/office/officeart/2005/8/layout/hProcess4"/>
    <dgm:cxn modelId="{837B90BD-5D02-4EBE-8C80-32D3AF35566F}" type="presParOf" srcId="{C747EDC3-ADE9-43D1-83B1-C88D8490A483}" destId="{388541D7-EA89-480C-88AB-ADCACAD13156}" srcOrd="2" destOrd="0" presId="urn:microsoft.com/office/officeart/2005/8/layout/hProcess4"/>
    <dgm:cxn modelId="{74B7C1A1-2BAB-439C-9EDC-E9F3B023CF8F}" type="presParOf" srcId="{C747EDC3-ADE9-43D1-83B1-C88D8490A483}" destId="{E3C88576-F31A-46F4-924B-F846D51BB491}" srcOrd="3" destOrd="0" presId="urn:microsoft.com/office/officeart/2005/8/layout/hProcess4"/>
    <dgm:cxn modelId="{4B785C79-9569-43C8-8DB6-31CBC361936A}" type="presParOf" srcId="{C747EDC3-ADE9-43D1-83B1-C88D8490A483}" destId="{71FC4146-5B04-4189-A828-AFBA23CC22B0}" srcOrd="4" destOrd="0" presId="urn:microsoft.com/office/officeart/2005/8/layout/hProcess4"/>
    <dgm:cxn modelId="{50330F0F-5E0D-4BE8-ABDE-D56A617B35FB}" type="presParOf" srcId="{C4B908AE-470C-4427-9C1A-702836310265}" destId="{4D3044D3-0173-4BEC-A24A-A139009DF82E}" srcOrd="1" destOrd="0" presId="urn:microsoft.com/office/officeart/2005/8/layout/hProcess4"/>
    <dgm:cxn modelId="{813087FB-0847-4ECA-8FAA-CF121313F658}" type="presParOf" srcId="{C4B908AE-470C-4427-9C1A-702836310265}" destId="{DD0CF9E4-679C-47EB-8A9E-009A4AB7733A}" srcOrd="2" destOrd="0" presId="urn:microsoft.com/office/officeart/2005/8/layout/hProcess4"/>
    <dgm:cxn modelId="{B54B7C68-EF47-412C-83F0-7A1ABB197E2E}" type="presParOf" srcId="{DD0CF9E4-679C-47EB-8A9E-009A4AB7733A}" destId="{F633BD27-2CD8-4B3B-A07B-1FE35996E2E8}" srcOrd="0" destOrd="0" presId="urn:microsoft.com/office/officeart/2005/8/layout/hProcess4"/>
    <dgm:cxn modelId="{41D7A00A-5CA8-441F-A245-9E5C517506AF}" type="presParOf" srcId="{DD0CF9E4-679C-47EB-8A9E-009A4AB7733A}" destId="{766D598B-451E-4E9B-BB14-FDF3558A3DC4}" srcOrd="1" destOrd="0" presId="urn:microsoft.com/office/officeart/2005/8/layout/hProcess4"/>
    <dgm:cxn modelId="{99B998D6-04CE-4203-A3AC-BAD43904E922}" type="presParOf" srcId="{DD0CF9E4-679C-47EB-8A9E-009A4AB7733A}" destId="{E8D54A5F-20A1-4F5C-BFA0-40BE17BF1BE6}" srcOrd="2" destOrd="0" presId="urn:microsoft.com/office/officeart/2005/8/layout/hProcess4"/>
    <dgm:cxn modelId="{F99774D0-33DE-48EF-9D3E-F29DD9C4EB95}" type="presParOf" srcId="{DD0CF9E4-679C-47EB-8A9E-009A4AB7733A}" destId="{CCB8110E-DE4A-48B4-9E05-322574BAE99B}" srcOrd="3" destOrd="0" presId="urn:microsoft.com/office/officeart/2005/8/layout/hProcess4"/>
    <dgm:cxn modelId="{098FAA92-91D4-4BA2-AC50-A23DF43E6145}" type="presParOf" srcId="{DD0CF9E4-679C-47EB-8A9E-009A4AB7733A}" destId="{B69D0FF2-5B02-41D0-A899-918D860E6AD4}" srcOrd="4" destOrd="0" presId="urn:microsoft.com/office/officeart/2005/8/layout/hProcess4"/>
    <dgm:cxn modelId="{3D188362-4A19-4C78-AD23-DF325106D34C}" type="presParOf" srcId="{C4B908AE-470C-4427-9C1A-702836310265}" destId="{55ACFC82-5524-49E2-8F7F-E08E3F26DFC6}" srcOrd="3" destOrd="0" presId="urn:microsoft.com/office/officeart/2005/8/layout/hProcess4"/>
    <dgm:cxn modelId="{CA672CAA-2494-4D4B-8DC0-B8F32E856B9A}" type="presParOf" srcId="{C4B908AE-470C-4427-9C1A-702836310265}" destId="{C61E0CDC-151C-4446-A1E5-1681B93DDB29}" srcOrd="4" destOrd="0" presId="urn:microsoft.com/office/officeart/2005/8/layout/hProcess4"/>
    <dgm:cxn modelId="{A7BCB1C8-2D5E-439C-B2B2-1722F3765713}" type="presParOf" srcId="{C61E0CDC-151C-4446-A1E5-1681B93DDB29}" destId="{2AC8EEB9-739D-4BCC-8F40-01EB7DFC1C3F}" srcOrd="0" destOrd="0" presId="urn:microsoft.com/office/officeart/2005/8/layout/hProcess4"/>
    <dgm:cxn modelId="{E228D3F9-5CE5-428C-A03E-E475638E0031}" type="presParOf" srcId="{C61E0CDC-151C-4446-A1E5-1681B93DDB29}" destId="{951E10BF-458B-49AC-8C5B-70754B154197}" srcOrd="1" destOrd="0" presId="urn:microsoft.com/office/officeart/2005/8/layout/hProcess4"/>
    <dgm:cxn modelId="{8F976828-964E-4021-9213-C178946FFD06}" type="presParOf" srcId="{C61E0CDC-151C-4446-A1E5-1681B93DDB29}" destId="{AA35620B-806D-4B42-9B15-F2B3F3AE9950}" srcOrd="2" destOrd="0" presId="urn:microsoft.com/office/officeart/2005/8/layout/hProcess4"/>
    <dgm:cxn modelId="{695C6455-9C16-4998-93C1-2DD1B415AED6}" type="presParOf" srcId="{C61E0CDC-151C-4446-A1E5-1681B93DDB29}" destId="{F620E50F-847A-4B77-B983-44CA7B0C6814}" srcOrd="3" destOrd="0" presId="urn:microsoft.com/office/officeart/2005/8/layout/hProcess4"/>
    <dgm:cxn modelId="{3632C3E2-B99D-484A-90E5-328F5E89DB21}" type="presParOf" srcId="{C61E0CDC-151C-4446-A1E5-1681B93DDB29}" destId="{F97AB1C6-A7C5-473A-8C52-8C2075898A1B}" srcOrd="4" destOrd="0" presId="urn:microsoft.com/office/officeart/2005/8/layout/hProcess4"/>
    <dgm:cxn modelId="{E142D24D-66E4-45B8-BA69-3D19C35396CF}" type="presParOf" srcId="{C4B908AE-470C-4427-9C1A-702836310265}" destId="{DC5CE88C-3413-44F9-99A6-007851173B09}" srcOrd="5" destOrd="0" presId="urn:microsoft.com/office/officeart/2005/8/layout/hProcess4"/>
    <dgm:cxn modelId="{F7C0F97B-1FF5-4BE9-A13D-E7ECB264F7DC}" type="presParOf" srcId="{C4B908AE-470C-4427-9C1A-702836310265}" destId="{3D07D987-EB05-4B46-8909-96648EDFACFF}" srcOrd="6" destOrd="0" presId="urn:microsoft.com/office/officeart/2005/8/layout/hProcess4"/>
    <dgm:cxn modelId="{805356A4-C4CD-42E9-B76C-F0BF6AD6BF63}" type="presParOf" srcId="{3D07D987-EB05-4B46-8909-96648EDFACFF}" destId="{97F5D44D-694F-43C1-B167-CBE64776020C}" srcOrd="0" destOrd="0" presId="urn:microsoft.com/office/officeart/2005/8/layout/hProcess4"/>
    <dgm:cxn modelId="{56F41652-F0C8-4DE3-9E8A-371FCABC8C64}" type="presParOf" srcId="{3D07D987-EB05-4B46-8909-96648EDFACFF}" destId="{486590C0-1BC0-4BCA-9963-9216B1596900}" srcOrd="1" destOrd="0" presId="urn:microsoft.com/office/officeart/2005/8/layout/hProcess4"/>
    <dgm:cxn modelId="{B4302E21-4A4C-4E96-8540-5A4016FFA7A9}" type="presParOf" srcId="{3D07D987-EB05-4B46-8909-96648EDFACFF}" destId="{5723517B-0713-4F79-9834-5F9A99752A28}" srcOrd="2" destOrd="0" presId="urn:microsoft.com/office/officeart/2005/8/layout/hProcess4"/>
    <dgm:cxn modelId="{69D6DA30-A51A-415B-8639-D5A081A908C7}" type="presParOf" srcId="{3D07D987-EB05-4B46-8909-96648EDFACFF}" destId="{2340D7FF-11D3-42BE-BCC5-7E8BB0EFDA90}" srcOrd="3" destOrd="0" presId="urn:microsoft.com/office/officeart/2005/8/layout/hProcess4"/>
    <dgm:cxn modelId="{F6E5CE31-3DEC-4E52-A42E-1AD2DA438D18}" type="presParOf" srcId="{3D07D987-EB05-4B46-8909-96648EDFACFF}" destId="{08566102-EFEE-4E64-9F4F-7566E04682CD}" srcOrd="4" destOrd="0" presId="urn:microsoft.com/office/officeart/2005/8/layout/hProcess4"/>
  </dgm:cxnLst>
  <dgm:bg/>
  <dgm:whole>
    <a:ln>
      <a:solidFill>
        <a:schemeClr val="tx1"/>
      </a:solid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0996A-DD95-4A0C-A85D-53339F9BFA00}">
      <dsp:nvSpPr>
        <dsp:cNvPr id="0" name=""/>
        <dsp:cNvSpPr/>
      </dsp:nvSpPr>
      <dsp:spPr>
        <a:xfrm flipV="1">
          <a:off x="911165" y="1890947"/>
          <a:ext cx="57497" cy="22947"/>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3044D3-0173-4BEC-A24A-A139009DF82E}">
      <dsp:nvSpPr>
        <dsp:cNvPr id="0" name=""/>
        <dsp:cNvSpPr/>
      </dsp:nvSpPr>
      <dsp:spPr>
        <a:xfrm>
          <a:off x="405293" y="1056852"/>
          <a:ext cx="1393314" cy="1393314"/>
        </a:xfrm>
        <a:prstGeom prst="leftCircularArrow">
          <a:avLst>
            <a:gd name="adj1" fmla="val 3500"/>
            <a:gd name="adj2" fmla="val 434219"/>
            <a:gd name="adj3" fmla="val 2209730"/>
            <a:gd name="adj4" fmla="val 9024489"/>
            <a:gd name="adj5" fmla="val 4083"/>
          </a:avLst>
        </a:prstGeom>
        <a:solidFill>
          <a:schemeClr val="accent2">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E3C88576-F31A-46F4-924B-F846D51BB491}">
      <dsp:nvSpPr>
        <dsp:cNvPr id="0" name=""/>
        <dsp:cNvSpPr/>
      </dsp:nvSpPr>
      <dsp:spPr>
        <a:xfrm>
          <a:off x="0" y="1640298"/>
          <a:ext cx="1084191" cy="431147"/>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Benchmark </a:t>
          </a:r>
          <a:r>
            <a:rPr lang="en-US" sz="900" kern="1200" dirty="0">
              <a:latin typeface="Times New Roman" panose="02020603050405020304" pitchFamily="18" charset="0"/>
              <a:cs typeface="Times New Roman" panose="02020603050405020304" pitchFamily="18" charset="0"/>
            </a:rPr>
            <a:t>Price</a:t>
          </a:r>
        </a:p>
      </dsp:txBody>
      <dsp:txXfrm>
        <a:off x="12628" y="1652926"/>
        <a:ext cx="1058935" cy="405891"/>
      </dsp:txXfrm>
    </dsp:sp>
    <dsp:sp modelId="{766D598B-451E-4E9B-BB14-FDF3558A3DC4}">
      <dsp:nvSpPr>
        <dsp:cNvPr id="0" name=""/>
        <dsp:cNvSpPr/>
      </dsp:nvSpPr>
      <dsp:spPr>
        <a:xfrm>
          <a:off x="1316219" y="849862"/>
          <a:ext cx="1219715" cy="10060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Official Exchange Rate</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Quantity Adjustment</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Quality Adjustment</a:t>
          </a:r>
        </a:p>
      </dsp:txBody>
      <dsp:txXfrm>
        <a:off x="1339370" y="1088587"/>
        <a:ext cx="1173413" cy="744134"/>
      </dsp:txXfrm>
    </dsp:sp>
    <dsp:sp modelId="{55ACFC82-5524-49E2-8F7F-E08E3F26DFC6}">
      <dsp:nvSpPr>
        <dsp:cNvPr id="0" name=""/>
        <dsp:cNvSpPr/>
      </dsp:nvSpPr>
      <dsp:spPr>
        <a:xfrm>
          <a:off x="1982381" y="216073"/>
          <a:ext cx="1549361" cy="1549361"/>
        </a:xfrm>
        <a:prstGeom prst="circularArrow">
          <a:avLst>
            <a:gd name="adj1" fmla="val 3147"/>
            <a:gd name="adj2" fmla="val 387233"/>
            <a:gd name="adj3" fmla="val 19437256"/>
            <a:gd name="adj4" fmla="val 12575511"/>
            <a:gd name="adj5" fmla="val 3672"/>
          </a:avLst>
        </a:prstGeom>
        <a:solidFill>
          <a:schemeClr val="accent2">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CCB8110E-DE4A-48B4-9E05-322574BAE99B}">
      <dsp:nvSpPr>
        <dsp:cNvPr id="0" name=""/>
        <dsp:cNvSpPr/>
      </dsp:nvSpPr>
      <dsp:spPr>
        <a:xfrm>
          <a:off x="1587264" y="634288"/>
          <a:ext cx="1084191" cy="431147"/>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Reference Price</a:t>
          </a:r>
        </a:p>
      </dsp:txBody>
      <dsp:txXfrm>
        <a:off x="1599892" y="646916"/>
        <a:ext cx="1058935" cy="405891"/>
      </dsp:txXfrm>
    </dsp:sp>
    <dsp:sp modelId="{951E10BF-458B-49AC-8C5B-70754B154197}">
      <dsp:nvSpPr>
        <dsp:cNvPr id="0" name=""/>
        <dsp:cNvSpPr/>
      </dsp:nvSpPr>
      <dsp:spPr>
        <a:xfrm>
          <a:off x="2903653" y="849862"/>
          <a:ext cx="1219715" cy="10060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Quantity Adjustment</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Quality Adjustment</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Processing Margins</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Transportation Margins</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Other Costs</a:t>
          </a:r>
        </a:p>
      </dsp:txBody>
      <dsp:txXfrm>
        <a:off x="2926804" y="873013"/>
        <a:ext cx="1173413" cy="744134"/>
      </dsp:txXfrm>
    </dsp:sp>
    <dsp:sp modelId="{DC5CE88C-3413-44F9-99A6-007851173B09}">
      <dsp:nvSpPr>
        <dsp:cNvPr id="0" name=""/>
        <dsp:cNvSpPr/>
      </dsp:nvSpPr>
      <dsp:spPr>
        <a:xfrm>
          <a:off x="3559541" y="822636"/>
          <a:ext cx="1706894" cy="1706894"/>
        </a:xfrm>
        <a:prstGeom prst="leftCircularArrow">
          <a:avLst>
            <a:gd name="adj1" fmla="val 2857"/>
            <a:gd name="adj2" fmla="val 349102"/>
            <a:gd name="adj3" fmla="val 2124613"/>
            <a:gd name="adj4" fmla="val 9024489"/>
            <a:gd name="adj5" fmla="val 3333"/>
          </a:avLst>
        </a:prstGeom>
        <a:solidFill>
          <a:schemeClr val="accent2">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F620E50F-847A-4B77-B983-44CA7B0C6814}">
      <dsp:nvSpPr>
        <dsp:cNvPr id="0" name=""/>
        <dsp:cNvSpPr/>
      </dsp:nvSpPr>
      <dsp:spPr>
        <a:xfrm>
          <a:off x="3174698" y="1640298"/>
          <a:ext cx="1084191" cy="431147"/>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Reference Price at Point of Competition</a:t>
          </a:r>
        </a:p>
      </dsp:txBody>
      <dsp:txXfrm>
        <a:off x="3187326" y="1652926"/>
        <a:ext cx="1058935" cy="405891"/>
      </dsp:txXfrm>
    </dsp:sp>
    <dsp:sp modelId="{486590C0-1BC0-4BCA-9963-9216B1596900}">
      <dsp:nvSpPr>
        <dsp:cNvPr id="0" name=""/>
        <dsp:cNvSpPr/>
      </dsp:nvSpPr>
      <dsp:spPr>
        <a:xfrm>
          <a:off x="4763596" y="849862"/>
          <a:ext cx="1219715" cy="10060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Processing Margins</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Transportation Margins</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Other Costs</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Quantity Adjustment</a:t>
          </a:r>
        </a:p>
        <a:p>
          <a:pPr marL="57150" lvl="1" indent="-57150" algn="l" defTabSz="355600">
            <a:lnSpc>
              <a:spcPct val="90000"/>
            </a:lnSpc>
            <a:spcBef>
              <a:spcPct val="0"/>
            </a:spcBef>
            <a:spcAft>
              <a:spcPct val="15000"/>
            </a:spcAft>
            <a:buChar char="•"/>
          </a:pPr>
          <a:r>
            <a:rPr lang="en-US" sz="800" kern="1200" dirty="0">
              <a:latin typeface="Times New Roman" panose="02020603050405020304" pitchFamily="18" charset="0"/>
              <a:cs typeface="Times New Roman" panose="02020603050405020304" pitchFamily="18" charset="0"/>
            </a:rPr>
            <a:t>Quality Adjustment</a:t>
          </a:r>
        </a:p>
      </dsp:txBody>
      <dsp:txXfrm>
        <a:off x="4786747" y="1088587"/>
        <a:ext cx="1173413" cy="744134"/>
      </dsp:txXfrm>
    </dsp:sp>
    <dsp:sp modelId="{2340D7FF-11D3-42BE-BCC5-7E8BB0EFDA90}">
      <dsp:nvSpPr>
        <dsp:cNvPr id="0" name=""/>
        <dsp:cNvSpPr/>
      </dsp:nvSpPr>
      <dsp:spPr>
        <a:xfrm>
          <a:off x="5034643" y="634288"/>
          <a:ext cx="1084191" cy="431147"/>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dirty="0">
              <a:latin typeface="Times New Roman" panose="02020603050405020304" pitchFamily="18" charset="0"/>
              <a:cs typeface="Times New Roman" panose="02020603050405020304" pitchFamily="18" charset="0"/>
            </a:rPr>
            <a:t>Reference Price at </a:t>
          </a:r>
          <a:r>
            <a:rPr lang="en-US" sz="900" kern="1200" dirty="0" err="1">
              <a:latin typeface="Times New Roman" panose="02020603050405020304" pitchFamily="18" charset="0"/>
              <a:cs typeface="Times New Roman" panose="02020603050405020304" pitchFamily="18" charset="0"/>
            </a:rPr>
            <a:t>Farmgate</a:t>
          </a:r>
          <a:endParaRPr lang="en-US" sz="900" kern="1200" dirty="0">
            <a:latin typeface="Times New Roman" panose="02020603050405020304" pitchFamily="18" charset="0"/>
            <a:cs typeface="Times New Roman" panose="02020603050405020304" pitchFamily="18" charset="0"/>
          </a:endParaRPr>
        </a:p>
      </dsp:txBody>
      <dsp:txXfrm>
        <a:off x="5047271" y="646916"/>
        <a:ext cx="1058935" cy="40589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IFPRI">
      <a:dk1>
        <a:sysClr val="windowText" lastClr="000000"/>
      </a:dk1>
      <a:lt1>
        <a:sysClr val="window" lastClr="FFFFFF"/>
      </a:lt1>
      <a:dk2>
        <a:srgbClr val="62BB46"/>
      </a:dk2>
      <a:lt2>
        <a:srgbClr val="C4D82E"/>
      </a:lt2>
      <a:accent1>
        <a:srgbClr val="00AE9A"/>
      </a:accent1>
      <a:accent2>
        <a:srgbClr val="F7921E"/>
      </a:accent2>
      <a:accent3>
        <a:srgbClr val="EF463B"/>
      </a:accent3>
      <a:accent4>
        <a:srgbClr val="8850A0"/>
      </a:accent4>
      <a:accent5>
        <a:srgbClr val="007DB4"/>
      </a:accent5>
      <a:accent6>
        <a:srgbClr val="3D5567"/>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2"/>
        </a:solidFill>
        <a:ln w="9525">
          <a:noFill/>
          <a:miter lim="800000"/>
          <a:headEnd/>
          <a:tailEnd/>
        </a:ln>
      </a:spPr>
      <a:bodyPr rot="0" vert="horz" wrap="square" lIns="228600" tIns="54864" rIns="228600" bIns="118872"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rmat xmlns="6e978c2c-6c74-4a40-8133-78789c307ef2">rgb</format>
    <view_x0020_tag xmlns="6e978c2c-6c74-4a40-8133-78789c307ef2" xsi:nil="true"/>
    <color xmlns="6e978c2c-6c74-4a40-8133-78789c307ef2">black</color>
  </documentManagement>
</p:properties>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8130F3877EFC44A87ED9EB6990469B" ma:contentTypeVersion="3" ma:contentTypeDescription="Create a new document." ma:contentTypeScope="" ma:versionID="de7d217e28b2812d94d9832299580e8b">
  <xsd:schema xmlns:xsd="http://www.w3.org/2001/XMLSchema" xmlns:xs="http://www.w3.org/2001/XMLSchema" xmlns:p="http://schemas.microsoft.com/office/2006/metadata/properties" xmlns:ns2="6e978c2c-6c74-4a40-8133-78789c307ef2" targetNamespace="http://schemas.microsoft.com/office/2006/metadata/properties" ma:root="true" ma:fieldsID="8c1e2c55918bcba9ac6aff7a6d7ab88e" ns2:_="">
    <xsd:import namespace="6e978c2c-6c74-4a40-8133-78789c307ef2"/>
    <xsd:element name="properties">
      <xsd:complexType>
        <xsd:sequence>
          <xsd:element name="documentManagement">
            <xsd:complexType>
              <xsd:all>
                <xsd:element ref="ns2:view_x0020_tag" minOccurs="0"/>
                <xsd:element ref="ns2:color"/>
                <xsd:element ref="ns2:forma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78c2c-6c74-4a40-8133-78789c307ef2" elementFormDefault="qualified">
    <xsd:import namespace="http://schemas.microsoft.com/office/2006/documentManagement/types"/>
    <xsd:import namespace="http://schemas.microsoft.com/office/infopath/2007/PartnerControls"/>
    <xsd:element name="view_x0020_tag" ma:index="8" nillable="true" ma:displayName="view tag" ma:internalName="view_x0020_tag">
      <xsd:simpleType>
        <xsd:restriction base="dms:Text">
          <xsd:maxLength value="255"/>
        </xsd:restriction>
      </xsd:simpleType>
    </xsd:element>
    <xsd:element name="color" ma:index="9" ma:displayName="color" ma:default="black" ma:format="Dropdown" ma:internalName="color">
      <xsd:simpleType>
        <xsd:restriction base="dms:Choice">
          <xsd:enumeration value="black"/>
          <xsd:enumeration value="white"/>
          <xsd:enumeration value="color"/>
        </xsd:restriction>
      </xsd:simpleType>
    </xsd:element>
    <xsd:element name="format" ma:index="10" ma:displayName="format" ma:default="rgb" ma:format="Dropdown" ma:internalName="format">
      <xsd:simpleType>
        <xsd:restriction base="dms:Choice">
          <xsd:enumeration value="rgb"/>
          <xsd:enumeration value="cmyk"/>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ECDB2-8259-4980-B172-B0DDF5FD44DA}">
  <ds:schemaRefs>
    <ds:schemaRef ds:uri="http://schemas.microsoft.com/office/2006/metadata/properties"/>
    <ds:schemaRef ds:uri="http://schemas.microsoft.com/office/infopath/2007/PartnerControls"/>
    <ds:schemaRef ds:uri="6e978c2c-6c74-4a40-8133-78789c307ef2"/>
  </ds:schemaRefs>
</ds:datastoreItem>
</file>

<file path=customXml/itemProps3.xml><?xml version="1.0" encoding="utf-8"?>
<ds:datastoreItem xmlns:ds="http://schemas.openxmlformats.org/officeDocument/2006/customXml" ds:itemID="{8F87FEBC-12C8-42B4-989F-9C54C4C94E3F}">
  <ds:schemaRefs>
    <ds:schemaRef ds:uri="http://schemas.openxmlformats.org/officeDocument/2006/bibliography"/>
  </ds:schemaRefs>
</ds:datastoreItem>
</file>

<file path=customXml/itemProps4.xml><?xml version="1.0" encoding="utf-8"?>
<ds:datastoreItem xmlns:ds="http://schemas.openxmlformats.org/officeDocument/2006/customXml" ds:itemID="{8B51C404-7BAD-4279-8D24-CD2F44D1A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78c2c-6c74-4a40-8133-78789c307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3E544D-8ECC-439E-A5E4-A024FF925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Template_WorkingPaper (3).dotx</Template>
  <TotalTime>163</TotalTime>
  <Pages>26</Pages>
  <Words>6464</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Template_WorkingPaper</vt:lpstr>
    </vt:vector>
  </TitlesOfParts>
  <Company>IFPRI</Company>
  <LinksUpToDate>false</LinksUpToDate>
  <CharactersWithSpaces>43223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Template_WorkingPaper</dc:title>
  <dc:creator>Administrator</dc:creator>
  <cp:lastModifiedBy>Mamun, Abdullah (IFPRI)</cp:lastModifiedBy>
  <cp:revision>63</cp:revision>
  <cp:lastPrinted>2020-04-29T21:27:00Z</cp:lastPrinted>
  <dcterms:created xsi:type="dcterms:W3CDTF">2025-04-09T23:18:00Z</dcterms:created>
  <dcterms:modified xsi:type="dcterms:W3CDTF">2025-04-10T17:47:00Z</dcterms:modified>
  <cp:category>IFPRI Working Paper</cp:category>
  <cp:version>1.02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0x010100EB8130F3877EFC44A87ED9EB6990469B</vt:lpwstr>
  </property>
  <property fmtid="{D5CDD505-2E9C-101B-9397-08002B2CF9AE}" pid="3" name="ZOTERO_PREF_1">
    <vt:lpwstr>&lt;data data-version="3" zotero-version="5.0.60"&gt;&lt;session id="RejVVPED"/&gt;&lt;style id="http://www.zotero.org/styles/chicago-author-date" locale="en-US"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